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824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C8FD012B5454D4DADA47F9DE5C3B4CA"/>
          </w:placeholder>
          <w:text/>
        </w:sdtPr>
        <w:sdtEndPr/>
        <w:sdtContent>
          <w:r w:rsidR="00BF31F6">
            <w:t>Kantonales ÜK</w:t>
          </w:r>
          <w:r w:rsidR="00BF31F6">
            <w:noBreakHyphen/>
            <w:t>Lehrmittel</w:t>
          </w:r>
        </w:sdtContent>
      </w:sdt>
    </w:p>
    <w:sdt>
      <w:sdtPr>
        <w:alias w:val="Untertitle"/>
        <w:tag w:val="Untertitle"/>
        <w:id w:val="774909392"/>
        <w:placeholder>
          <w:docPart w:val="310958EA11774FEAB099E4B306EAFDA2"/>
        </w:placeholder>
        <w:text/>
      </w:sdtPr>
      <w:sdtEndPr/>
      <w:sdtContent>
        <w:p w:rsidR="007C3DC6" w:rsidRPr="00DE6063" w:rsidRDefault="0004743B" w:rsidP="00A54D75">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by </w:t>
      </w:r>
      <w:sdt>
        <w:sdtPr>
          <w:alias w:val="Urheber"/>
          <w:tag w:val="Urheber"/>
          <w:id w:val="-1653591352"/>
          <w:placeholder>
            <w:docPart w:val="C0E6EF06C6A64BC7800D9A5E7C9D71AC"/>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0F720AAC0F18485C97D7B6BAC314DF47"/>
        </w:placeholder>
        <w:text/>
      </w:sdtPr>
      <w:sdtEndPr/>
      <w:sdtContent>
        <w:p w:rsidR="00BF57AF" w:rsidRDefault="00D63E2B" w:rsidP="00746294">
          <w:pPr>
            <w:pStyle w:val="Text"/>
          </w:pPr>
          <w:r>
            <w:t>ov</w:t>
          </w:r>
          <w:r>
            <w:noBreakHyphen/>
            <w:t>ap@reinach.ch</w:t>
          </w:r>
        </w:p>
      </w:sdtContent>
    </w:sdt>
    <w:p w:rsidR="000041F0" w:rsidRDefault="000041F0" w:rsidP="00811341">
      <w:pPr>
        <w:sectPr w:rsidR="000041F0" w:rsidSect="00D579E5">
          <w:footerReference w:type="even" r:id="rId10"/>
          <w:pgSz w:w="11906" w:h="16838" w:code="9"/>
          <w:pgMar w:top="1758" w:right="879" w:bottom="1134" w:left="1418" w:header="567" w:footer="454" w:gutter="0"/>
          <w:cols w:space="708"/>
          <w:vAlign w:val="bottom"/>
          <w:titlePg/>
          <w:docGrid w:linePitch="360"/>
        </w:sectPr>
      </w:pPr>
    </w:p>
    <w:p w:rsidR="00BF57AF" w:rsidRDefault="00BF57AF" w:rsidP="000041F0">
      <w:pPr>
        <w:pStyle w:val="Informationen1"/>
      </w:pPr>
      <w:r>
        <w:lastRenderedPageBreak/>
        <w:t>A-16 Sachenrecht</w:t>
      </w:r>
    </w:p>
    <w:p w:rsidR="00BF57AF" w:rsidRPr="00276E6B" w:rsidRDefault="00BF57AF" w:rsidP="000041F0">
      <w:pPr>
        <w:pStyle w:val="Informationen"/>
        <w:rPr>
          <w:lang w:val="de-DE" w:eastAsia="en-US"/>
        </w:rPr>
      </w:pPr>
      <w:r>
        <w:rPr>
          <w:lang w:val="de-DE" w:eastAsia="en-US"/>
        </w:rPr>
        <w:t>ÜK-</w:t>
      </w:r>
      <w:r w:rsidRPr="00276E6B">
        <w:rPr>
          <w:lang w:val="de-DE" w:eastAsia="en-US"/>
        </w:rPr>
        <w:t>Leistungsziele</w:t>
      </w:r>
    </w:p>
    <w:p w:rsidR="00BF57AF" w:rsidRDefault="00BF57AF" w:rsidP="000041F0">
      <w:pPr>
        <w:pStyle w:val="Text"/>
        <w:tabs>
          <w:tab w:val="left" w:pos="2268"/>
        </w:tabs>
      </w:pPr>
      <w:r>
        <w:t>1.1.2.1.2</w:t>
      </w:r>
      <w:r>
        <w:tab/>
        <w:t>Staatsaufgaben Gemeinden</w:t>
      </w:r>
    </w:p>
    <w:p w:rsidR="00BF57AF" w:rsidRDefault="00BF57AF" w:rsidP="000041F0">
      <w:pPr>
        <w:pStyle w:val="Text"/>
        <w:tabs>
          <w:tab w:val="left" w:pos="2268"/>
        </w:tabs>
      </w:pPr>
      <w:r>
        <w:t>1.1.2.1.2</w:t>
      </w:r>
      <w:r>
        <w:tab/>
        <w:t>Staatsaufgaben Grundbuchämter</w:t>
      </w:r>
    </w:p>
    <w:p w:rsidR="00BF57AF" w:rsidRDefault="00BF57AF" w:rsidP="000041F0">
      <w:pPr>
        <w:pStyle w:val="Text"/>
        <w:tabs>
          <w:tab w:val="left" w:pos="2268"/>
        </w:tabs>
      </w:pPr>
      <w:r>
        <w:t>1.1.2.2.1</w:t>
      </w:r>
      <w:r>
        <w:tab/>
        <w:t>Hauptaufgaben des Staates</w:t>
      </w:r>
    </w:p>
    <w:p w:rsidR="00BF57AF" w:rsidRDefault="00BF57AF" w:rsidP="000041F0">
      <w:pPr>
        <w:pStyle w:val="Text"/>
        <w:tabs>
          <w:tab w:val="left" w:pos="2268"/>
        </w:tabs>
      </w:pPr>
      <w:r>
        <w:t>1.1.2.2.2</w:t>
      </w:r>
      <w:r>
        <w:tab/>
        <w:t>Zuständigkeiten</w:t>
      </w:r>
    </w:p>
    <w:p w:rsidR="00BF57AF" w:rsidRDefault="00BF57AF" w:rsidP="000041F0">
      <w:pPr>
        <w:pStyle w:val="Text"/>
        <w:tabs>
          <w:tab w:val="left" w:pos="2268"/>
        </w:tabs>
      </w:pPr>
      <w:r>
        <w:t>1.1.2.2.3</w:t>
      </w:r>
      <w:r>
        <w:tab/>
        <w:t>Aufgabenverteilung</w:t>
      </w:r>
    </w:p>
    <w:p w:rsidR="00BF57AF" w:rsidRDefault="00BF57AF" w:rsidP="000041F0">
      <w:pPr>
        <w:pStyle w:val="Text"/>
        <w:tabs>
          <w:tab w:val="left" w:pos="2268"/>
        </w:tabs>
      </w:pPr>
      <w:r>
        <w:t xml:space="preserve">1.1.3.1.1 </w:t>
      </w:r>
      <w:r>
        <w:tab/>
        <w:t>Auftrag des Lehrbetriebs</w:t>
      </w:r>
    </w:p>
    <w:p w:rsidR="00BF57AF" w:rsidRPr="00276E6B" w:rsidRDefault="00BF57AF" w:rsidP="000041F0">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BF57AF" w:rsidRDefault="00BF57AF" w:rsidP="000041F0">
      <w:pPr>
        <w:pStyle w:val="Text"/>
      </w:pPr>
      <w:r>
        <w:t>D-05-02-04</w:t>
      </w:r>
    </w:p>
    <w:p w:rsidR="00BF57AF" w:rsidRDefault="00BF57AF" w:rsidP="000041F0">
      <w:pPr>
        <w:pStyle w:val="Text"/>
      </w:pPr>
    </w:p>
    <w:p w:rsidR="00BF57AF" w:rsidRDefault="00BF57AF" w:rsidP="000041F0">
      <w:pPr>
        <w:pStyle w:val="Text"/>
      </w:pPr>
      <w:r>
        <w:t>D-09-01-04</w:t>
      </w:r>
    </w:p>
    <w:p w:rsidR="00BF57AF" w:rsidRPr="00276E6B" w:rsidRDefault="000054EB" w:rsidP="000041F0">
      <w:pPr>
        <w:pStyle w:val="Informationen"/>
        <w:rPr>
          <w:lang w:val="de-DE" w:eastAsia="en-US"/>
        </w:rPr>
      </w:pPr>
      <w:r>
        <w:rPr>
          <w:lang w:val="de-DE" w:eastAsia="en-US"/>
        </w:rPr>
        <w:t>Vorbereitungsaufgabe</w:t>
      </w:r>
    </w:p>
    <w:p w:rsidR="00BF57AF" w:rsidRDefault="00F87E0E" w:rsidP="000041F0">
      <w:pPr>
        <w:pStyle w:val="Text"/>
        <w:rPr>
          <w:lang w:val="de-DE" w:eastAsia="en-US"/>
        </w:rPr>
      </w:pPr>
      <w:r>
        <w:rPr>
          <w:lang w:val="de-DE" w:eastAsia="en-US"/>
        </w:rPr>
        <w:t>-</w:t>
      </w:r>
    </w:p>
    <w:p w:rsidR="00BF57AF" w:rsidRDefault="00BF57AF" w:rsidP="000041F0">
      <w:pPr>
        <w:pStyle w:val="Text"/>
        <w:rPr>
          <w:lang w:val="de-DE" w:eastAsia="en-US"/>
        </w:rPr>
      </w:pPr>
    </w:p>
    <w:p w:rsidR="00BF57AF" w:rsidRPr="00DE6063" w:rsidRDefault="00BF57AF" w:rsidP="001F1126">
      <w:pPr>
        <w:pStyle w:val="Text"/>
        <w:sectPr w:rsidR="00BF57AF" w:rsidRPr="00DE6063" w:rsidSect="000041F0">
          <w:headerReference w:type="first" r:id="rId11"/>
          <w:footerReference w:type="first" r:id="rId12"/>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811341" w:rsidRPr="00BC6E21" w:rsidRDefault="00811341" w:rsidP="00811341">
          <w:pPr>
            <w:pStyle w:val="Inhaltsverzeichnisberschrift1"/>
            <w:numPr>
              <w:ilvl w:val="0"/>
              <w:numId w:val="22"/>
            </w:numPr>
            <w:ind w:left="1134" w:hanging="1134"/>
          </w:pPr>
          <w:r w:rsidRPr="00BC6E21">
            <w:t>Inhaltsverzeichnis</w:t>
          </w:r>
          <w:bookmarkEnd w:id="0"/>
        </w:p>
        <w:p w:rsidR="00BB487A" w:rsidRDefault="00811341">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9600237" w:history="1">
            <w:r w:rsidR="00BB487A" w:rsidRPr="005C162B">
              <w:rPr>
                <w:rStyle w:val="Hyperlink"/>
              </w:rPr>
              <w:t>1</w:t>
            </w:r>
            <w:r w:rsidR="00BB487A">
              <w:rPr>
                <w:rFonts w:asciiTheme="minorHAnsi" w:eastAsiaTheme="minorEastAsia" w:hAnsiTheme="minorHAnsi" w:cstheme="minorBidi"/>
                <w:b w:val="0"/>
                <w:sz w:val="22"/>
                <w:szCs w:val="22"/>
                <w:lang w:eastAsia="de-CH"/>
              </w:rPr>
              <w:tab/>
            </w:r>
            <w:r w:rsidR="00BB487A" w:rsidRPr="005C162B">
              <w:rPr>
                <w:rStyle w:val="Hyperlink"/>
              </w:rPr>
              <w:t>Einleitung</w:t>
            </w:r>
            <w:r w:rsidR="00BB487A">
              <w:rPr>
                <w:webHidden/>
              </w:rPr>
              <w:tab/>
            </w:r>
            <w:r w:rsidR="00BB487A">
              <w:rPr>
                <w:webHidden/>
              </w:rPr>
              <w:fldChar w:fldCharType="begin"/>
            </w:r>
            <w:r w:rsidR="00BB487A">
              <w:rPr>
                <w:webHidden/>
              </w:rPr>
              <w:instrText xml:space="preserve"> PAGEREF _Toc409600237 \h </w:instrText>
            </w:r>
            <w:r w:rsidR="00BB487A">
              <w:rPr>
                <w:webHidden/>
              </w:rPr>
            </w:r>
            <w:r w:rsidR="00BB487A">
              <w:rPr>
                <w:webHidden/>
              </w:rPr>
              <w:fldChar w:fldCharType="separate"/>
            </w:r>
            <w:r w:rsidR="00BB487A">
              <w:rPr>
                <w:webHidden/>
              </w:rPr>
              <w:t>1</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38" w:history="1">
            <w:r w:rsidR="00BB487A" w:rsidRPr="005C162B">
              <w:rPr>
                <w:rStyle w:val="Hyperlink"/>
              </w:rPr>
              <w:t>2</w:t>
            </w:r>
            <w:r w:rsidR="00BB487A">
              <w:rPr>
                <w:rFonts w:asciiTheme="minorHAnsi" w:eastAsiaTheme="minorEastAsia" w:hAnsiTheme="minorHAnsi" w:cstheme="minorBidi"/>
                <w:b w:val="0"/>
                <w:sz w:val="22"/>
                <w:szCs w:val="22"/>
                <w:lang w:eastAsia="de-CH"/>
              </w:rPr>
              <w:tab/>
            </w:r>
            <w:r w:rsidR="00BB487A" w:rsidRPr="005C162B">
              <w:rPr>
                <w:rStyle w:val="Hyperlink"/>
              </w:rPr>
              <w:t>Begriff und Arten der Sachenrechte</w:t>
            </w:r>
            <w:r w:rsidR="00BB487A">
              <w:rPr>
                <w:webHidden/>
              </w:rPr>
              <w:tab/>
            </w:r>
            <w:r w:rsidR="00BB487A">
              <w:rPr>
                <w:webHidden/>
              </w:rPr>
              <w:fldChar w:fldCharType="begin"/>
            </w:r>
            <w:r w:rsidR="00BB487A">
              <w:rPr>
                <w:webHidden/>
              </w:rPr>
              <w:instrText xml:space="preserve"> PAGEREF _Toc409600238 \h </w:instrText>
            </w:r>
            <w:r w:rsidR="00BB487A">
              <w:rPr>
                <w:webHidden/>
              </w:rPr>
            </w:r>
            <w:r w:rsidR="00BB487A">
              <w:rPr>
                <w:webHidden/>
              </w:rPr>
              <w:fldChar w:fldCharType="separate"/>
            </w:r>
            <w:r w:rsidR="00BB487A">
              <w:rPr>
                <w:webHidden/>
              </w:rPr>
              <w:t>2</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39" w:history="1">
            <w:r w:rsidR="00BB487A" w:rsidRPr="005C162B">
              <w:rPr>
                <w:rStyle w:val="Hyperlink"/>
              </w:rPr>
              <w:t>2.1</w:t>
            </w:r>
            <w:r w:rsidR="00BB487A">
              <w:rPr>
                <w:rFonts w:asciiTheme="minorHAnsi" w:eastAsiaTheme="minorEastAsia" w:hAnsiTheme="minorHAnsi" w:cstheme="minorBidi"/>
                <w:sz w:val="22"/>
                <w:szCs w:val="22"/>
                <w:lang w:eastAsia="de-CH"/>
              </w:rPr>
              <w:tab/>
            </w:r>
            <w:r w:rsidR="00BB487A" w:rsidRPr="005C162B">
              <w:rPr>
                <w:rStyle w:val="Hyperlink"/>
              </w:rPr>
              <w:t>Sachen- und Obligationenrecht</w:t>
            </w:r>
            <w:r w:rsidR="00BB487A">
              <w:rPr>
                <w:webHidden/>
              </w:rPr>
              <w:tab/>
            </w:r>
            <w:r w:rsidR="00BB487A">
              <w:rPr>
                <w:webHidden/>
              </w:rPr>
              <w:fldChar w:fldCharType="begin"/>
            </w:r>
            <w:r w:rsidR="00BB487A">
              <w:rPr>
                <w:webHidden/>
              </w:rPr>
              <w:instrText xml:space="preserve"> PAGEREF _Toc409600239 \h </w:instrText>
            </w:r>
            <w:r w:rsidR="00BB487A">
              <w:rPr>
                <w:webHidden/>
              </w:rPr>
            </w:r>
            <w:r w:rsidR="00BB487A">
              <w:rPr>
                <w:webHidden/>
              </w:rPr>
              <w:fldChar w:fldCharType="separate"/>
            </w:r>
            <w:r w:rsidR="00BB487A">
              <w:rPr>
                <w:webHidden/>
              </w:rPr>
              <w:t>2</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40" w:history="1">
            <w:r w:rsidR="00BB487A" w:rsidRPr="005C162B">
              <w:rPr>
                <w:rStyle w:val="Hyperlink"/>
              </w:rPr>
              <w:t>2.2</w:t>
            </w:r>
            <w:r w:rsidR="00BB487A">
              <w:rPr>
                <w:rFonts w:asciiTheme="minorHAnsi" w:eastAsiaTheme="minorEastAsia" w:hAnsiTheme="minorHAnsi" w:cstheme="minorBidi"/>
                <w:sz w:val="22"/>
                <w:szCs w:val="22"/>
                <w:lang w:eastAsia="de-CH"/>
              </w:rPr>
              <w:tab/>
            </w:r>
            <w:r w:rsidR="00BB487A" w:rsidRPr="005C162B">
              <w:rPr>
                <w:rStyle w:val="Hyperlink"/>
              </w:rPr>
              <w:t>Dingliche Rechte nach Gesetz</w:t>
            </w:r>
            <w:r w:rsidR="00BB487A">
              <w:rPr>
                <w:webHidden/>
              </w:rPr>
              <w:tab/>
            </w:r>
            <w:r w:rsidR="00BB487A">
              <w:rPr>
                <w:webHidden/>
              </w:rPr>
              <w:fldChar w:fldCharType="begin"/>
            </w:r>
            <w:r w:rsidR="00BB487A">
              <w:rPr>
                <w:webHidden/>
              </w:rPr>
              <w:instrText xml:space="preserve"> PAGEREF _Toc409600240 \h </w:instrText>
            </w:r>
            <w:r w:rsidR="00BB487A">
              <w:rPr>
                <w:webHidden/>
              </w:rPr>
            </w:r>
            <w:r w:rsidR="00BB487A">
              <w:rPr>
                <w:webHidden/>
              </w:rPr>
              <w:fldChar w:fldCharType="separate"/>
            </w:r>
            <w:r w:rsidR="00BB487A">
              <w:rPr>
                <w:webHidden/>
              </w:rPr>
              <w:t>2</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41" w:history="1">
            <w:r w:rsidR="00BB487A" w:rsidRPr="005C162B">
              <w:rPr>
                <w:rStyle w:val="Hyperlink"/>
              </w:rPr>
              <w:t>3</w:t>
            </w:r>
            <w:r w:rsidR="00BB487A">
              <w:rPr>
                <w:rFonts w:asciiTheme="minorHAnsi" w:eastAsiaTheme="minorEastAsia" w:hAnsiTheme="minorHAnsi" w:cstheme="minorBidi"/>
                <w:b w:val="0"/>
                <w:sz w:val="22"/>
                <w:szCs w:val="22"/>
                <w:lang w:eastAsia="de-CH"/>
              </w:rPr>
              <w:tab/>
            </w:r>
            <w:r w:rsidR="00BB487A" w:rsidRPr="005C162B">
              <w:rPr>
                <w:rStyle w:val="Hyperlink"/>
              </w:rPr>
              <w:t>Das Eigentum</w:t>
            </w:r>
            <w:r w:rsidR="00BB487A">
              <w:rPr>
                <w:webHidden/>
              </w:rPr>
              <w:tab/>
            </w:r>
            <w:r w:rsidR="00BB487A">
              <w:rPr>
                <w:webHidden/>
              </w:rPr>
              <w:fldChar w:fldCharType="begin"/>
            </w:r>
            <w:r w:rsidR="00BB487A">
              <w:rPr>
                <w:webHidden/>
              </w:rPr>
              <w:instrText xml:space="preserve"> PAGEREF _Toc409600241 \h </w:instrText>
            </w:r>
            <w:r w:rsidR="00BB487A">
              <w:rPr>
                <w:webHidden/>
              </w:rPr>
            </w:r>
            <w:r w:rsidR="00BB487A">
              <w:rPr>
                <w:webHidden/>
              </w:rPr>
              <w:fldChar w:fldCharType="separate"/>
            </w:r>
            <w:r w:rsidR="00BB487A">
              <w:rPr>
                <w:webHidden/>
              </w:rPr>
              <w:t>3</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42" w:history="1">
            <w:r w:rsidR="00BB487A" w:rsidRPr="005C162B">
              <w:rPr>
                <w:rStyle w:val="Hyperlink"/>
              </w:rPr>
              <w:t>3.1</w:t>
            </w:r>
            <w:r w:rsidR="00BB487A">
              <w:rPr>
                <w:rFonts w:asciiTheme="minorHAnsi" w:eastAsiaTheme="minorEastAsia" w:hAnsiTheme="minorHAnsi" w:cstheme="minorBidi"/>
                <w:sz w:val="22"/>
                <w:szCs w:val="22"/>
                <w:lang w:eastAsia="de-CH"/>
              </w:rPr>
              <w:tab/>
            </w:r>
            <w:r w:rsidR="00BB487A" w:rsidRPr="005C162B">
              <w:rPr>
                <w:rStyle w:val="Hyperlink"/>
              </w:rPr>
              <w:t>Inhalt und Umfang</w:t>
            </w:r>
            <w:r w:rsidR="00BB487A">
              <w:rPr>
                <w:webHidden/>
              </w:rPr>
              <w:tab/>
            </w:r>
            <w:r w:rsidR="00BB487A">
              <w:rPr>
                <w:webHidden/>
              </w:rPr>
              <w:fldChar w:fldCharType="begin"/>
            </w:r>
            <w:r w:rsidR="00BB487A">
              <w:rPr>
                <w:webHidden/>
              </w:rPr>
              <w:instrText xml:space="preserve"> PAGEREF _Toc409600242 \h </w:instrText>
            </w:r>
            <w:r w:rsidR="00BB487A">
              <w:rPr>
                <w:webHidden/>
              </w:rPr>
            </w:r>
            <w:r w:rsidR="00BB487A">
              <w:rPr>
                <w:webHidden/>
              </w:rPr>
              <w:fldChar w:fldCharType="separate"/>
            </w:r>
            <w:r w:rsidR="00BB487A">
              <w:rPr>
                <w:webHidden/>
              </w:rPr>
              <w:t>3</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43" w:history="1">
            <w:r w:rsidR="00BB487A" w:rsidRPr="005C162B">
              <w:rPr>
                <w:rStyle w:val="Hyperlink"/>
              </w:rPr>
              <w:t>3.1.1</w:t>
            </w:r>
            <w:r w:rsidR="00BB487A">
              <w:rPr>
                <w:rFonts w:asciiTheme="minorHAnsi" w:eastAsiaTheme="minorEastAsia" w:hAnsiTheme="minorHAnsi" w:cstheme="minorBidi"/>
                <w:sz w:val="22"/>
                <w:szCs w:val="22"/>
                <w:lang w:eastAsia="de-CH"/>
              </w:rPr>
              <w:tab/>
            </w:r>
            <w:r w:rsidR="00BB487A" w:rsidRPr="005C162B">
              <w:rPr>
                <w:rStyle w:val="Hyperlink"/>
              </w:rPr>
              <w:t>Eigentumsverhältnisse</w:t>
            </w:r>
            <w:r w:rsidR="00BB487A">
              <w:rPr>
                <w:webHidden/>
              </w:rPr>
              <w:tab/>
            </w:r>
            <w:r w:rsidR="00BB487A">
              <w:rPr>
                <w:webHidden/>
              </w:rPr>
              <w:fldChar w:fldCharType="begin"/>
            </w:r>
            <w:r w:rsidR="00BB487A">
              <w:rPr>
                <w:webHidden/>
              </w:rPr>
              <w:instrText xml:space="preserve"> PAGEREF _Toc409600243 \h </w:instrText>
            </w:r>
            <w:r w:rsidR="00BB487A">
              <w:rPr>
                <w:webHidden/>
              </w:rPr>
            </w:r>
            <w:r w:rsidR="00BB487A">
              <w:rPr>
                <w:webHidden/>
              </w:rPr>
              <w:fldChar w:fldCharType="separate"/>
            </w:r>
            <w:r w:rsidR="00BB487A">
              <w:rPr>
                <w:webHidden/>
              </w:rPr>
              <w:t>4</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44" w:history="1">
            <w:r w:rsidR="00BB487A" w:rsidRPr="005C162B">
              <w:rPr>
                <w:rStyle w:val="Hyperlink"/>
              </w:rPr>
              <w:t>3.1.2</w:t>
            </w:r>
            <w:r w:rsidR="00BB487A">
              <w:rPr>
                <w:rFonts w:asciiTheme="minorHAnsi" w:eastAsiaTheme="minorEastAsia" w:hAnsiTheme="minorHAnsi" w:cstheme="minorBidi"/>
                <w:sz w:val="22"/>
                <w:szCs w:val="22"/>
                <w:lang w:eastAsia="de-CH"/>
              </w:rPr>
              <w:tab/>
            </w:r>
            <w:r w:rsidR="00BB487A" w:rsidRPr="005C162B">
              <w:rPr>
                <w:rStyle w:val="Hyperlink"/>
              </w:rPr>
              <w:t>Eigentümer</w:t>
            </w:r>
            <w:r w:rsidR="00BB487A">
              <w:rPr>
                <w:webHidden/>
              </w:rPr>
              <w:tab/>
            </w:r>
            <w:r w:rsidR="00BB487A">
              <w:rPr>
                <w:webHidden/>
              </w:rPr>
              <w:fldChar w:fldCharType="begin"/>
            </w:r>
            <w:r w:rsidR="00BB487A">
              <w:rPr>
                <w:webHidden/>
              </w:rPr>
              <w:instrText xml:space="preserve"> PAGEREF _Toc409600244 \h </w:instrText>
            </w:r>
            <w:r w:rsidR="00BB487A">
              <w:rPr>
                <w:webHidden/>
              </w:rPr>
            </w:r>
            <w:r w:rsidR="00BB487A">
              <w:rPr>
                <w:webHidden/>
              </w:rPr>
              <w:fldChar w:fldCharType="separate"/>
            </w:r>
            <w:r w:rsidR="00BB487A">
              <w:rPr>
                <w:webHidden/>
              </w:rPr>
              <w:t>4</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45" w:history="1">
            <w:r w:rsidR="00BB487A" w:rsidRPr="005C162B">
              <w:rPr>
                <w:rStyle w:val="Hyperlink"/>
              </w:rPr>
              <w:t>3.2</w:t>
            </w:r>
            <w:r w:rsidR="00BB487A">
              <w:rPr>
                <w:rFonts w:asciiTheme="minorHAnsi" w:eastAsiaTheme="minorEastAsia" w:hAnsiTheme="minorHAnsi" w:cstheme="minorBidi"/>
                <w:sz w:val="22"/>
                <w:szCs w:val="22"/>
                <w:lang w:eastAsia="de-CH"/>
              </w:rPr>
              <w:tab/>
            </w:r>
            <w:r w:rsidR="00BB487A" w:rsidRPr="005C162B">
              <w:rPr>
                <w:rStyle w:val="Hyperlink"/>
              </w:rPr>
              <w:t>Das Grundeigentum</w:t>
            </w:r>
            <w:r w:rsidR="00BB487A">
              <w:rPr>
                <w:webHidden/>
              </w:rPr>
              <w:tab/>
            </w:r>
            <w:r w:rsidR="00BB487A">
              <w:rPr>
                <w:webHidden/>
              </w:rPr>
              <w:fldChar w:fldCharType="begin"/>
            </w:r>
            <w:r w:rsidR="00BB487A">
              <w:rPr>
                <w:webHidden/>
              </w:rPr>
              <w:instrText xml:space="preserve"> PAGEREF _Toc409600245 \h </w:instrText>
            </w:r>
            <w:r w:rsidR="00BB487A">
              <w:rPr>
                <w:webHidden/>
              </w:rPr>
            </w:r>
            <w:r w:rsidR="00BB487A">
              <w:rPr>
                <w:webHidden/>
              </w:rPr>
              <w:fldChar w:fldCharType="separate"/>
            </w:r>
            <w:r w:rsidR="00BB487A">
              <w:rPr>
                <w:webHidden/>
              </w:rPr>
              <w:t>4</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46" w:history="1">
            <w:r w:rsidR="00BB487A" w:rsidRPr="005C162B">
              <w:rPr>
                <w:rStyle w:val="Hyperlink"/>
              </w:rPr>
              <w:t>3.2.1</w:t>
            </w:r>
            <w:r w:rsidR="00BB487A">
              <w:rPr>
                <w:rFonts w:asciiTheme="minorHAnsi" w:eastAsiaTheme="minorEastAsia" w:hAnsiTheme="minorHAnsi" w:cstheme="minorBidi"/>
                <w:sz w:val="22"/>
                <w:szCs w:val="22"/>
                <w:lang w:eastAsia="de-CH"/>
              </w:rPr>
              <w:tab/>
            </w:r>
            <w:r w:rsidR="00BB487A" w:rsidRPr="005C162B">
              <w:rPr>
                <w:rStyle w:val="Hyperlink"/>
              </w:rPr>
              <w:t>Grundstücke nach Gesetz</w:t>
            </w:r>
            <w:r w:rsidR="00BB487A">
              <w:rPr>
                <w:webHidden/>
              </w:rPr>
              <w:tab/>
            </w:r>
            <w:r w:rsidR="00BB487A">
              <w:rPr>
                <w:webHidden/>
              </w:rPr>
              <w:fldChar w:fldCharType="begin"/>
            </w:r>
            <w:r w:rsidR="00BB487A">
              <w:rPr>
                <w:webHidden/>
              </w:rPr>
              <w:instrText xml:space="preserve"> PAGEREF _Toc409600246 \h </w:instrText>
            </w:r>
            <w:r w:rsidR="00BB487A">
              <w:rPr>
                <w:webHidden/>
              </w:rPr>
            </w:r>
            <w:r w:rsidR="00BB487A">
              <w:rPr>
                <w:webHidden/>
              </w:rPr>
              <w:fldChar w:fldCharType="separate"/>
            </w:r>
            <w:r w:rsidR="00BB487A">
              <w:rPr>
                <w:webHidden/>
              </w:rPr>
              <w:t>4</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47" w:history="1">
            <w:r w:rsidR="00BB487A" w:rsidRPr="005C162B">
              <w:rPr>
                <w:rStyle w:val="Hyperlink"/>
              </w:rPr>
              <w:t>3.2.2</w:t>
            </w:r>
            <w:r w:rsidR="00BB487A">
              <w:rPr>
                <w:rFonts w:asciiTheme="minorHAnsi" w:eastAsiaTheme="minorEastAsia" w:hAnsiTheme="minorHAnsi" w:cstheme="minorBidi"/>
                <w:sz w:val="22"/>
                <w:szCs w:val="22"/>
                <w:lang w:eastAsia="de-CH"/>
              </w:rPr>
              <w:tab/>
            </w:r>
            <w:r w:rsidR="00BB487A" w:rsidRPr="005C162B">
              <w:rPr>
                <w:rStyle w:val="Hyperlink"/>
              </w:rPr>
              <w:t>Inhalt des Grundeigentums</w:t>
            </w:r>
            <w:r w:rsidR="00BB487A">
              <w:rPr>
                <w:webHidden/>
              </w:rPr>
              <w:tab/>
            </w:r>
            <w:r w:rsidR="00BB487A">
              <w:rPr>
                <w:webHidden/>
              </w:rPr>
              <w:fldChar w:fldCharType="begin"/>
            </w:r>
            <w:r w:rsidR="00BB487A">
              <w:rPr>
                <w:webHidden/>
              </w:rPr>
              <w:instrText xml:space="preserve"> PAGEREF _Toc409600247 \h </w:instrText>
            </w:r>
            <w:r w:rsidR="00BB487A">
              <w:rPr>
                <w:webHidden/>
              </w:rPr>
            </w:r>
            <w:r w:rsidR="00BB487A">
              <w:rPr>
                <w:webHidden/>
              </w:rPr>
              <w:fldChar w:fldCharType="separate"/>
            </w:r>
            <w:r w:rsidR="00BB487A">
              <w:rPr>
                <w:webHidden/>
              </w:rPr>
              <w:t>5</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48" w:history="1">
            <w:r w:rsidR="00BB487A" w:rsidRPr="005C162B">
              <w:rPr>
                <w:rStyle w:val="Hyperlink"/>
              </w:rPr>
              <w:t>3.2.3</w:t>
            </w:r>
            <w:r w:rsidR="00BB487A">
              <w:rPr>
                <w:rFonts w:asciiTheme="minorHAnsi" w:eastAsiaTheme="minorEastAsia" w:hAnsiTheme="minorHAnsi" w:cstheme="minorBidi"/>
                <w:sz w:val="22"/>
                <w:szCs w:val="22"/>
                <w:lang w:eastAsia="de-CH"/>
              </w:rPr>
              <w:tab/>
            </w:r>
            <w:r w:rsidR="00BB487A" w:rsidRPr="005C162B">
              <w:rPr>
                <w:rStyle w:val="Hyperlink"/>
              </w:rPr>
              <w:t>Erwerb von Grundeigentum</w:t>
            </w:r>
            <w:r w:rsidR="00BB487A">
              <w:rPr>
                <w:webHidden/>
              </w:rPr>
              <w:tab/>
            </w:r>
            <w:r w:rsidR="00BB487A">
              <w:rPr>
                <w:webHidden/>
              </w:rPr>
              <w:fldChar w:fldCharType="begin"/>
            </w:r>
            <w:r w:rsidR="00BB487A">
              <w:rPr>
                <w:webHidden/>
              </w:rPr>
              <w:instrText xml:space="preserve"> PAGEREF _Toc409600248 \h </w:instrText>
            </w:r>
            <w:r w:rsidR="00BB487A">
              <w:rPr>
                <w:webHidden/>
              </w:rPr>
            </w:r>
            <w:r w:rsidR="00BB487A">
              <w:rPr>
                <w:webHidden/>
              </w:rPr>
              <w:fldChar w:fldCharType="separate"/>
            </w:r>
            <w:r w:rsidR="00BB487A">
              <w:rPr>
                <w:webHidden/>
              </w:rPr>
              <w:t>5</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49" w:history="1">
            <w:r w:rsidR="00BB487A" w:rsidRPr="005C162B">
              <w:rPr>
                <w:rStyle w:val="Hyperlink"/>
              </w:rPr>
              <w:t>3.3</w:t>
            </w:r>
            <w:r w:rsidR="00BB487A">
              <w:rPr>
                <w:rFonts w:asciiTheme="minorHAnsi" w:eastAsiaTheme="minorEastAsia" w:hAnsiTheme="minorHAnsi" w:cstheme="minorBidi"/>
                <w:sz w:val="22"/>
                <w:szCs w:val="22"/>
                <w:lang w:eastAsia="de-CH"/>
              </w:rPr>
              <w:tab/>
            </w:r>
            <w:r w:rsidR="00BB487A" w:rsidRPr="005C162B">
              <w:rPr>
                <w:rStyle w:val="Hyperlink"/>
              </w:rPr>
              <w:t>Das Fahrniseigentum</w:t>
            </w:r>
            <w:r w:rsidR="00BB487A">
              <w:rPr>
                <w:webHidden/>
              </w:rPr>
              <w:tab/>
            </w:r>
            <w:r w:rsidR="00BB487A">
              <w:rPr>
                <w:webHidden/>
              </w:rPr>
              <w:fldChar w:fldCharType="begin"/>
            </w:r>
            <w:r w:rsidR="00BB487A">
              <w:rPr>
                <w:webHidden/>
              </w:rPr>
              <w:instrText xml:space="preserve"> PAGEREF _Toc409600249 \h </w:instrText>
            </w:r>
            <w:r w:rsidR="00BB487A">
              <w:rPr>
                <w:webHidden/>
              </w:rPr>
            </w:r>
            <w:r w:rsidR="00BB487A">
              <w:rPr>
                <w:webHidden/>
              </w:rPr>
              <w:fldChar w:fldCharType="separate"/>
            </w:r>
            <w:r w:rsidR="00BB487A">
              <w:rPr>
                <w:webHidden/>
              </w:rPr>
              <w:t>5</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50" w:history="1">
            <w:r w:rsidR="00BB487A" w:rsidRPr="005C162B">
              <w:rPr>
                <w:rStyle w:val="Hyperlink"/>
              </w:rPr>
              <w:t>3.3.1</w:t>
            </w:r>
            <w:r w:rsidR="00BB487A">
              <w:rPr>
                <w:rFonts w:asciiTheme="minorHAnsi" w:eastAsiaTheme="minorEastAsia" w:hAnsiTheme="minorHAnsi" w:cstheme="minorBidi"/>
                <w:sz w:val="22"/>
                <w:szCs w:val="22"/>
                <w:lang w:eastAsia="de-CH"/>
              </w:rPr>
              <w:tab/>
            </w:r>
            <w:r w:rsidR="00BB487A" w:rsidRPr="005C162B">
              <w:rPr>
                <w:rStyle w:val="Hyperlink"/>
              </w:rPr>
              <w:t>Erwerb von Fahrniseigentum</w:t>
            </w:r>
            <w:r w:rsidR="00BB487A">
              <w:rPr>
                <w:webHidden/>
              </w:rPr>
              <w:tab/>
            </w:r>
            <w:r w:rsidR="00BB487A">
              <w:rPr>
                <w:webHidden/>
              </w:rPr>
              <w:fldChar w:fldCharType="begin"/>
            </w:r>
            <w:r w:rsidR="00BB487A">
              <w:rPr>
                <w:webHidden/>
              </w:rPr>
              <w:instrText xml:space="preserve"> PAGEREF _Toc409600250 \h </w:instrText>
            </w:r>
            <w:r w:rsidR="00BB487A">
              <w:rPr>
                <w:webHidden/>
              </w:rPr>
            </w:r>
            <w:r w:rsidR="00BB487A">
              <w:rPr>
                <w:webHidden/>
              </w:rPr>
              <w:fldChar w:fldCharType="separate"/>
            </w:r>
            <w:r w:rsidR="00BB487A">
              <w:rPr>
                <w:webHidden/>
              </w:rPr>
              <w:t>5</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51" w:history="1">
            <w:r w:rsidR="00BB487A" w:rsidRPr="005C162B">
              <w:rPr>
                <w:rStyle w:val="Hyperlink"/>
              </w:rPr>
              <w:t>3.4</w:t>
            </w:r>
            <w:r w:rsidR="00BB487A">
              <w:rPr>
                <w:rFonts w:asciiTheme="minorHAnsi" w:eastAsiaTheme="minorEastAsia" w:hAnsiTheme="minorHAnsi" w:cstheme="minorBidi"/>
                <w:sz w:val="22"/>
                <w:szCs w:val="22"/>
                <w:lang w:eastAsia="de-CH"/>
              </w:rPr>
              <w:tab/>
            </w:r>
            <w:r w:rsidR="00BB487A" w:rsidRPr="005C162B">
              <w:rPr>
                <w:rStyle w:val="Hyperlink"/>
              </w:rPr>
              <w:t>Beschränkung des Grundeigentums</w:t>
            </w:r>
            <w:r w:rsidR="00BB487A">
              <w:rPr>
                <w:webHidden/>
              </w:rPr>
              <w:tab/>
            </w:r>
            <w:r w:rsidR="00BB487A">
              <w:rPr>
                <w:webHidden/>
              </w:rPr>
              <w:fldChar w:fldCharType="begin"/>
            </w:r>
            <w:r w:rsidR="00BB487A">
              <w:rPr>
                <w:webHidden/>
              </w:rPr>
              <w:instrText xml:space="preserve"> PAGEREF _Toc409600251 \h </w:instrText>
            </w:r>
            <w:r w:rsidR="00BB487A">
              <w:rPr>
                <w:webHidden/>
              </w:rPr>
            </w:r>
            <w:r w:rsidR="00BB487A">
              <w:rPr>
                <w:webHidden/>
              </w:rPr>
              <w:fldChar w:fldCharType="separate"/>
            </w:r>
            <w:r w:rsidR="00BB487A">
              <w:rPr>
                <w:webHidden/>
              </w:rPr>
              <w:t>6</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52" w:history="1">
            <w:r w:rsidR="00BB487A" w:rsidRPr="005C162B">
              <w:rPr>
                <w:rStyle w:val="Hyperlink"/>
              </w:rPr>
              <w:t>4</w:t>
            </w:r>
            <w:r w:rsidR="00BB487A">
              <w:rPr>
                <w:rFonts w:asciiTheme="minorHAnsi" w:eastAsiaTheme="minorEastAsia" w:hAnsiTheme="minorHAnsi" w:cstheme="minorBidi"/>
                <w:b w:val="0"/>
                <w:sz w:val="22"/>
                <w:szCs w:val="22"/>
                <w:lang w:eastAsia="de-CH"/>
              </w:rPr>
              <w:tab/>
            </w:r>
            <w:r w:rsidR="00BB487A" w:rsidRPr="005C162B">
              <w:rPr>
                <w:rStyle w:val="Hyperlink"/>
              </w:rPr>
              <w:t>Beschränkt dingliche Rechte</w:t>
            </w:r>
            <w:r w:rsidR="00BB487A">
              <w:rPr>
                <w:webHidden/>
              </w:rPr>
              <w:tab/>
            </w:r>
            <w:r w:rsidR="00BB487A">
              <w:rPr>
                <w:webHidden/>
              </w:rPr>
              <w:fldChar w:fldCharType="begin"/>
            </w:r>
            <w:r w:rsidR="00BB487A">
              <w:rPr>
                <w:webHidden/>
              </w:rPr>
              <w:instrText xml:space="preserve"> PAGEREF _Toc409600252 \h </w:instrText>
            </w:r>
            <w:r w:rsidR="00BB487A">
              <w:rPr>
                <w:webHidden/>
              </w:rPr>
            </w:r>
            <w:r w:rsidR="00BB487A">
              <w:rPr>
                <w:webHidden/>
              </w:rPr>
              <w:fldChar w:fldCharType="separate"/>
            </w:r>
            <w:r w:rsidR="00BB487A">
              <w:rPr>
                <w:webHidden/>
              </w:rPr>
              <w:t>7</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53" w:history="1">
            <w:r w:rsidR="00BB487A" w:rsidRPr="005C162B">
              <w:rPr>
                <w:rStyle w:val="Hyperlink"/>
              </w:rPr>
              <w:t>4.1</w:t>
            </w:r>
            <w:r w:rsidR="00BB487A">
              <w:rPr>
                <w:rFonts w:asciiTheme="minorHAnsi" w:eastAsiaTheme="minorEastAsia" w:hAnsiTheme="minorHAnsi" w:cstheme="minorBidi"/>
                <w:sz w:val="22"/>
                <w:szCs w:val="22"/>
                <w:lang w:eastAsia="de-CH"/>
              </w:rPr>
              <w:tab/>
            </w:r>
            <w:r w:rsidR="00BB487A" w:rsidRPr="005C162B">
              <w:rPr>
                <w:rStyle w:val="Hyperlink"/>
              </w:rPr>
              <w:t>Grunddienstbarkeiten</w:t>
            </w:r>
            <w:r w:rsidR="00BB487A">
              <w:rPr>
                <w:webHidden/>
              </w:rPr>
              <w:tab/>
            </w:r>
            <w:r w:rsidR="00BB487A">
              <w:rPr>
                <w:webHidden/>
              </w:rPr>
              <w:fldChar w:fldCharType="begin"/>
            </w:r>
            <w:r w:rsidR="00BB487A">
              <w:rPr>
                <w:webHidden/>
              </w:rPr>
              <w:instrText xml:space="preserve"> PAGEREF _Toc409600253 \h </w:instrText>
            </w:r>
            <w:r w:rsidR="00BB487A">
              <w:rPr>
                <w:webHidden/>
              </w:rPr>
            </w:r>
            <w:r w:rsidR="00BB487A">
              <w:rPr>
                <w:webHidden/>
              </w:rPr>
              <w:fldChar w:fldCharType="separate"/>
            </w:r>
            <w:r w:rsidR="00BB487A">
              <w:rPr>
                <w:webHidden/>
              </w:rPr>
              <w:t>7</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54" w:history="1">
            <w:r w:rsidR="00BB487A" w:rsidRPr="005C162B">
              <w:rPr>
                <w:rStyle w:val="Hyperlink"/>
              </w:rPr>
              <w:t>4.2</w:t>
            </w:r>
            <w:r w:rsidR="00BB487A">
              <w:rPr>
                <w:rFonts w:asciiTheme="minorHAnsi" w:eastAsiaTheme="minorEastAsia" w:hAnsiTheme="minorHAnsi" w:cstheme="minorBidi"/>
                <w:sz w:val="22"/>
                <w:szCs w:val="22"/>
                <w:lang w:eastAsia="de-CH"/>
              </w:rPr>
              <w:tab/>
            </w:r>
            <w:r w:rsidR="00BB487A" w:rsidRPr="005C162B">
              <w:rPr>
                <w:rStyle w:val="Hyperlink"/>
              </w:rPr>
              <w:t>Persönliche Dienstbarkeiten</w:t>
            </w:r>
            <w:r w:rsidR="00BB487A">
              <w:rPr>
                <w:webHidden/>
              </w:rPr>
              <w:tab/>
            </w:r>
            <w:r w:rsidR="00BB487A">
              <w:rPr>
                <w:webHidden/>
              </w:rPr>
              <w:fldChar w:fldCharType="begin"/>
            </w:r>
            <w:r w:rsidR="00BB487A">
              <w:rPr>
                <w:webHidden/>
              </w:rPr>
              <w:instrText xml:space="preserve"> PAGEREF _Toc409600254 \h </w:instrText>
            </w:r>
            <w:r w:rsidR="00BB487A">
              <w:rPr>
                <w:webHidden/>
              </w:rPr>
            </w:r>
            <w:r w:rsidR="00BB487A">
              <w:rPr>
                <w:webHidden/>
              </w:rPr>
              <w:fldChar w:fldCharType="separate"/>
            </w:r>
            <w:r w:rsidR="00BB487A">
              <w:rPr>
                <w:webHidden/>
              </w:rPr>
              <w:t>7</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55" w:history="1">
            <w:r w:rsidR="00BB487A" w:rsidRPr="005C162B">
              <w:rPr>
                <w:rStyle w:val="Hyperlink"/>
              </w:rPr>
              <w:t>4.2.1</w:t>
            </w:r>
            <w:r w:rsidR="00BB487A">
              <w:rPr>
                <w:rFonts w:asciiTheme="minorHAnsi" w:eastAsiaTheme="minorEastAsia" w:hAnsiTheme="minorHAnsi" w:cstheme="minorBidi"/>
                <w:sz w:val="22"/>
                <w:szCs w:val="22"/>
                <w:lang w:eastAsia="de-CH"/>
              </w:rPr>
              <w:tab/>
            </w:r>
            <w:r w:rsidR="00BB487A" w:rsidRPr="005C162B">
              <w:rPr>
                <w:rStyle w:val="Hyperlink"/>
              </w:rPr>
              <w:t>Merkmale der persönlichen Dienstbarkeiten</w:t>
            </w:r>
            <w:r w:rsidR="00BB487A">
              <w:rPr>
                <w:webHidden/>
              </w:rPr>
              <w:tab/>
            </w:r>
            <w:r w:rsidR="00BB487A">
              <w:rPr>
                <w:webHidden/>
              </w:rPr>
              <w:fldChar w:fldCharType="begin"/>
            </w:r>
            <w:r w:rsidR="00BB487A">
              <w:rPr>
                <w:webHidden/>
              </w:rPr>
              <w:instrText xml:space="preserve"> PAGEREF _Toc409600255 \h </w:instrText>
            </w:r>
            <w:r w:rsidR="00BB487A">
              <w:rPr>
                <w:webHidden/>
              </w:rPr>
            </w:r>
            <w:r w:rsidR="00BB487A">
              <w:rPr>
                <w:webHidden/>
              </w:rPr>
              <w:fldChar w:fldCharType="separate"/>
            </w:r>
            <w:r w:rsidR="00BB487A">
              <w:rPr>
                <w:webHidden/>
              </w:rPr>
              <w:t>7</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56" w:history="1">
            <w:r w:rsidR="00BB487A" w:rsidRPr="005C162B">
              <w:rPr>
                <w:rStyle w:val="Hyperlink"/>
              </w:rPr>
              <w:t>4.2.2</w:t>
            </w:r>
            <w:r w:rsidR="00BB487A">
              <w:rPr>
                <w:rFonts w:asciiTheme="minorHAnsi" w:eastAsiaTheme="minorEastAsia" w:hAnsiTheme="minorHAnsi" w:cstheme="minorBidi"/>
                <w:sz w:val="22"/>
                <w:szCs w:val="22"/>
                <w:lang w:eastAsia="de-CH"/>
              </w:rPr>
              <w:tab/>
            </w:r>
            <w:r w:rsidR="00BB487A" w:rsidRPr="005C162B">
              <w:rPr>
                <w:rStyle w:val="Hyperlink"/>
              </w:rPr>
              <w:t>Entstehung einer Dienstbarkeit</w:t>
            </w:r>
            <w:r w:rsidR="00BB487A">
              <w:rPr>
                <w:webHidden/>
              </w:rPr>
              <w:tab/>
            </w:r>
            <w:r w:rsidR="00BB487A">
              <w:rPr>
                <w:webHidden/>
              </w:rPr>
              <w:fldChar w:fldCharType="begin"/>
            </w:r>
            <w:r w:rsidR="00BB487A">
              <w:rPr>
                <w:webHidden/>
              </w:rPr>
              <w:instrText xml:space="preserve"> PAGEREF _Toc409600256 \h </w:instrText>
            </w:r>
            <w:r w:rsidR="00BB487A">
              <w:rPr>
                <w:webHidden/>
              </w:rPr>
            </w:r>
            <w:r w:rsidR="00BB487A">
              <w:rPr>
                <w:webHidden/>
              </w:rPr>
              <w:fldChar w:fldCharType="separate"/>
            </w:r>
            <w:r w:rsidR="00BB487A">
              <w:rPr>
                <w:webHidden/>
              </w:rPr>
              <w:t>8</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57" w:history="1">
            <w:r w:rsidR="00BB487A" w:rsidRPr="005C162B">
              <w:rPr>
                <w:rStyle w:val="Hyperlink"/>
              </w:rPr>
              <w:t>4.3</w:t>
            </w:r>
            <w:r w:rsidR="00BB487A">
              <w:rPr>
                <w:rFonts w:asciiTheme="minorHAnsi" w:eastAsiaTheme="minorEastAsia" w:hAnsiTheme="minorHAnsi" w:cstheme="minorBidi"/>
                <w:sz w:val="22"/>
                <w:szCs w:val="22"/>
                <w:lang w:eastAsia="de-CH"/>
              </w:rPr>
              <w:tab/>
            </w:r>
            <w:r w:rsidR="00BB487A" w:rsidRPr="005C162B">
              <w:rPr>
                <w:rStyle w:val="Hyperlink"/>
              </w:rPr>
              <w:t>Grundlasten</w:t>
            </w:r>
            <w:r w:rsidR="00BB487A">
              <w:rPr>
                <w:webHidden/>
              </w:rPr>
              <w:tab/>
            </w:r>
            <w:r w:rsidR="00BB487A">
              <w:rPr>
                <w:webHidden/>
              </w:rPr>
              <w:fldChar w:fldCharType="begin"/>
            </w:r>
            <w:r w:rsidR="00BB487A">
              <w:rPr>
                <w:webHidden/>
              </w:rPr>
              <w:instrText xml:space="preserve"> PAGEREF _Toc409600257 \h </w:instrText>
            </w:r>
            <w:r w:rsidR="00BB487A">
              <w:rPr>
                <w:webHidden/>
              </w:rPr>
            </w:r>
            <w:r w:rsidR="00BB487A">
              <w:rPr>
                <w:webHidden/>
              </w:rPr>
              <w:fldChar w:fldCharType="separate"/>
            </w:r>
            <w:r w:rsidR="00BB487A">
              <w:rPr>
                <w:webHidden/>
              </w:rPr>
              <w:t>8</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58" w:history="1">
            <w:r w:rsidR="00BB487A" w:rsidRPr="005C162B">
              <w:rPr>
                <w:rStyle w:val="Hyperlink"/>
              </w:rPr>
              <w:t>4.4</w:t>
            </w:r>
            <w:r w:rsidR="00BB487A">
              <w:rPr>
                <w:rFonts w:asciiTheme="minorHAnsi" w:eastAsiaTheme="minorEastAsia" w:hAnsiTheme="minorHAnsi" w:cstheme="minorBidi"/>
                <w:sz w:val="22"/>
                <w:szCs w:val="22"/>
                <w:lang w:eastAsia="de-CH"/>
              </w:rPr>
              <w:tab/>
            </w:r>
            <w:r w:rsidR="00BB487A" w:rsidRPr="005C162B">
              <w:rPr>
                <w:rStyle w:val="Hyperlink"/>
              </w:rPr>
              <w:t>Pfandrechte</w:t>
            </w:r>
            <w:r w:rsidR="00BB487A">
              <w:rPr>
                <w:webHidden/>
              </w:rPr>
              <w:tab/>
            </w:r>
            <w:r w:rsidR="00BB487A">
              <w:rPr>
                <w:webHidden/>
              </w:rPr>
              <w:fldChar w:fldCharType="begin"/>
            </w:r>
            <w:r w:rsidR="00BB487A">
              <w:rPr>
                <w:webHidden/>
              </w:rPr>
              <w:instrText xml:space="preserve"> PAGEREF _Toc409600258 \h </w:instrText>
            </w:r>
            <w:r w:rsidR="00BB487A">
              <w:rPr>
                <w:webHidden/>
              </w:rPr>
            </w:r>
            <w:r w:rsidR="00BB487A">
              <w:rPr>
                <w:webHidden/>
              </w:rPr>
              <w:fldChar w:fldCharType="separate"/>
            </w:r>
            <w:r w:rsidR="00BB487A">
              <w:rPr>
                <w:webHidden/>
              </w:rPr>
              <w:t>8</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59" w:history="1">
            <w:r w:rsidR="00BB487A" w:rsidRPr="005C162B">
              <w:rPr>
                <w:rStyle w:val="Hyperlink"/>
              </w:rPr>
              <w:t>4.4.1</w:t>
            </w:r>
            <w:r w:rsidR="00BB487A">
              <w:rPr>
                <w:rFonts w:asciiTheme="minorHAnsi" w:eastAsiaTheme="minorEastAsia" w:hAnsiTheme="minorHAnsi" w:cstheme="minorBidi"/>
                <w:sz w:val="22"/>
                <w:szCs w:val="22"/>
                <w:lang w:eastAsia="de-CH"/>
              </w:rPr>
              <w:tab/>
            </w:r>
            <w:r w:rsidR="00BB487A" w:rsidRPr="005C162B">
              <w:rPr>
                <w:rStyle w:val="Hyperlink"/>
              </w:rPr>
              <w:t>Grundpfandrechte</w:t>
            </w:r>
            <w:r w:rsidR="00BB487A">
              <w:rPr>
                <w:webHidden/>
              </w:rPr>
              <w:tab/>
            </w:r>
            <w:r w:rsidR="00BB487A">
              <w:rPr>
                <w:webHidden/>
              </w:rPr>
              <w:fldChar w:fldCharType="begin"/>
            </w:r>
            <w:r w:rsidR="00BB487A">
              <w:rPr>
                <w:webHidden/>
              </w:rPr>
              <w:instrText xml:space="preserve"> PAGEREF _Toc409600259 \h </w:instrText>
            </w:r>
            <w:r w:rsidR="00BB487A">
              <w:rPr>
                <w:webHidden/>
              </w:rPr>
            </w:r>
            <w:r w:rsidR="00BB487A">
              <w:rPr>
                <w:webHidden/>
              </w:rPr>
              <w:fldChar w:fldCharType="separate"/>
            </w:r>
            <w:r w:rsidR="00BB487A">
              <w:rPr>
                <w:webHidden/>
              </w:rPr>
              <w:t>8</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0" w:history="1">
            <w:r w:rsidR="00BB487A" w:rsidRPr="005C162B">
              <w:rPr>
                <w:rStyle w:val="Hyperlink"/>
              </w:rPr>
              <w:t>4.4.2</w:t>
            </w:r>
            <w:r w:rsidR="00BB487A">
              <w:rPr>
                <w:rFonts w:asciiTheme="minorHAnsi" w:eastAsiaTheme="minorEastAsia" w:hAnsiTheme="minorHAnsi" w:cstheme="minorBidi"/>
                <w:sz w:val="22"/>
                <w:szCs w:val="22"/>
                <w:lang w:eastAsia="de-CH"/>
              </w:rPr>
              <w:tab/>
            </w:r>
            <w:r w:rsidR="00BB487A" w:rsidRPr="005C162B">
              <w:rPr>
                <w:rStyle w:val="Hyperlink"/>
              </w:rPr>
              <w:t>Arten von Grundpfandrechten</w:t>
            </w:r>
            <w:r w:rsidR="00BB487A">
              <w:rPr>
                <w:webHidden/>
              </w:rPr>
              <w:tab/>
            </w:r>
            <w:r w:rsidR="00BB487A">
              <w:rPr>
                <w:webHidden/>
              </w:rPr>
              <w:fldChar w:fldCharType="begin"/>
            </w:r>
            <w:r w:rsidR="00BB487A">
              <w:rPr>
                <w:webHidden/>
              </w:rPr>
              <w:instrText xml:space="preserve"> PAGEREF _Toc409600260 \h </w:instrText>
            </w:r>
            <w:r w:rsidR="00BB487A">
              <w:rPr>
                <w:webHidden/>
              </w:rPr>
            </w:r>
            <w:r w:rsidR="00BB487A">
              <w:rPr>
                <w:webHidden/>
              </w:rPr>
              <w:fldChar w:fldCharType="separate"/>
            </w:r>
            <w:r w:rsidR="00BB487A">
              <w:rPr>
                <w:webHidden/>
              </w:rPr>
              <w:t>8</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1" w:history="1">
            <w:r w:rsidR="00BB487A" w:rsidRPr="005C162B">
              <w:rPr>
                <w:rStyle w:val="Hyperlink"/>
              </w:rPr>
              <w:t>4.4.3</w:t>
            </w:r>
            <w:r w:rsidR="00BB487A">
              <w:rPr>
                <w:rFonts w:asciiTheme="minorHAnsi" w:eastAsiaTheme="minorEastAsia" w:hAnsiTheme="minorHAnsi" w:cstheme="minorBidi"/>
                <w:sz w:val="22"/>
                <w:szCs w:val="22"/>
                <w:lang w:eastAsia="de-CH"/>
              </w:rPr>
              <w:tab/>
            </w:r>
            <w:r w:rsidR="00BB487A" w:rsidRPr="005C162B">
              <w:rPr>
                <w:rStyle w:val="Hyperlink"/>
              </w:rPr>
              <w:t>Entstehung eines Grundpfandrechtes</w:t>
            </w:r>
            <w:r w:rsidR="00BB487A">
              <w:rPr>
                <w:webHidden/>
              </w:rPr>
              <w:tab/>
            </w:r>
            <w:r w:rsidR="00BB487A">
              <w:rPr>
                <w:webHidden/>
              </w:rPr>
              <w:fldChar w:fldCharType="begin"/>
            </w:r>
            <w:r w:rsidR="00BB487A">
              <w:rPr>
                <w:webHidden/>
              </w:rPr>
              <w:instrText xml:space="preserve"> PAGEREF _Toc409600261 \h </w:instrText>
            </w:r>
            <w:r w:rsidR="00BB487A">
              <w:rPr>
                <w:webHidden/>
              </w:rPr>
            </w:r>
            <w:r w:rsidR="00BB487A">
              <w:rPr>
                <w:webHidden/>
              </w:rPr>
              <w:fldChar w:fldCharType="separate"/>
            </w:r>
            <w:r w:rsidR="00BB487A">
              <w:rPr>
                <w:webHidden/>
              </w:rPr>
              <w:t>9</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2" w:history="1">
            <w:r w:rsidR="00BB487A" w:rsidRPr="005C162B">
              <w:rPr>
                <w:rStyle w:val="Hyperlink"/>
              </w:rPr>
              <w:t>4.4.4</w:t>
            </w:r>
            <w:r w:rsidR="00BB487A">
              <w:rPr>
                <w:rFonts w:asciiTheme="minorHAnsi" w:eastAsiaTheme="minorEastAsia" w:hAnsiTheme="minorHAnsi" w:cstheme="minorBidi"/>
                <w:sz w:val="22"/>
                <w:szCs w:val="22"/>
                <w:lang w:eastAsia="de-CH"/>
              </w:rPr>
              <w:tab/>
            </w:r>
            <w:r w:rsidR="00BB487A" w:rsidRPr="005C162B">
              <w:rPr>
                <w:rStyle w:val="Hyperlink"/>
              </w:rPr>
              <w:t>Fahrnispfandrechte</w:t>
            </w:r>
            <w:r w:rsidR="00BB487A">
              <w:rPr>
                <w:webHidden/>
              </w:rPr>
              <w:tab/>
            </w:r>
            <w:r w:rsidR="00BB487A">
              <w:rPr>
                <w:webHidden/>
              </w:rPr>
              <w:fldChar w:fldCharType="begin"/>
            </w:r>
            <w:r w:rsidR="00BB487A">
              <w:rPr>
                <w:webHidden/>
              </w:rPr>
              <w:instrText xml:space="preserve"> PAGEREF _Toc409600262 \h </w:instrText>
            </w:r>
            <w:r w:rsidR="00BB487A">
              <w:rPr>
                <w:webHidden/>
              </w:rPr>
            </w:r>
            <w:r w:rsidR="00BB487A">
              <w:rPr>
                <w:webHidden/>
              </w:rPr>
              <w:fldChar w:fldCharType="separate"/>
            </w:r>
            <w:r w:rsidR="00BB487A">
              <w:rPr>
                <w:webHidden/>
              </w:rPr>
              <w:t>9</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63" w:history="1">
            <w:r w:rsidR="00BB487A" w:rsidRPr="005C162B">
              <w:rPr>
                <w:rStyle w:val="Hyperlink"/>
              </w:rPr>
              <w:t>5</w:t>
            </w:r>
            <w:r w:rsidR="00BB487A">
              <w:rPr>
                <w:rFonts w:asciiTheme="minorHAnsi" w:eastAsiaTheme="minorEastAsia" w:hAnsiTheme="minorHAnsi" w:cstheme="minorBidi"/>
                <w:b w:val="0"/>
                <w:sz w:val="22"/>
                <w:szCs w:val="22"/>
                <w:lang w:eastAsia="de-CH"/>
              </w:rPr>
              <w:tab/>
            </w:r>
            <w:r w:rsidR="00BB487A" w:rsidRPr="005C162B">
              <w:rPr>
                <w:rStyle w:val="Hyperlink"/>
              </w:rPr>
              <w:t>Besitz und Grundbuch</w:t>
            </w:r>
            <w:r w:rsidR="00BB487A">
              <w:rPr>
                <w:webHidden/>
              </w:rPr>
              <w:tab/>
            </w:r>
            <w:r w:rsidR="00BB487A">
              <w:rPr>
                <w:webHidden/>
              </w:rPr>
              <w:fldChar w:fldCharType="begin"/>
            </w:r>
            <w:r w:rsidR="00BB487A">
              <w:rPr>
                <w:webHidden/>
              </w:rPr>
              <w:instrText xml:space="preserve"> PAGEREF _Toc409600263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64" w:history="1">
            <w:r w:rsidR="00BB487A" w:rsidRPr="005C162B">
              <w:rPr>
                <w:rStyle w:val="Hyperlink"/>
              </w:rPr>
              <w:t>5.1</w:t>
            </w:r>
            <w:r w:rsidR="00BB487A">
              <w:rPr>
                <w:rFonts w:asciiTheme="minorHAnsi" w:eastAsiaTheme="minorEastAsia" w:hAnsiTheme="minorHAnsi" w:cstheme="minorBidi"/>
                <w:sz w:val="22"/>
                <w:szCs w:val="22"/>
                <w:lang w:eastAsia="de-CH"/>
              </w:rPr>
              <w:tab/>
            </w:r>
            <w:r w:rsidR="00BB487A" w:rsidRPr="005C162B">
              <w:rPr>
                <w:rStyle w:val="Hyperlink"/>
              </w:rPr>
              <w:t>Besitz</w:t>
            </w:r>
            <w:r w:rsidR="00BB487A">
              <w:rPr>
                <w:webHidden/>
              </w:rPr>
              <w:tab/>
            </w:r>
            <w:r w:rsidR="00BB487A">
              <w:rPr>
                <w:webHidden/>
              </w:rPr>
              <w:fldChar w:fldCharType="begin"/>
            </w:r>
            <w:r w:rsidR="00BB487A">
              <w:rPr>
                <w:webHidden/>
              </w:rPr>
              <w:instrText xml:space="preserve"> PAGEREF _Toc409600264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5" w:history="1">
            <w:r w:rsidR="00BB487A" w:rsidRPr="005C162B">
              <w:rPr>
                <w:rStyle w:val="Hyperlink"/>
              </w:rPr>
              <w:t>5.1.1</w:t>
            </w:r>
            <w:r w:rsidR="00BB487A">
              <w:rPr>
                <w:rFonts w:asciiTheme="minorHAnsi" w:eastAsiaTheme="minorEastAsia" w:hAnsiTheme="minorHAnsi" w:cstheme="minorBidi"/>
                <w:sz w:val="22"/>
                <w:szCs w:val="22"/>
                <w:lang w:eastAsia="de-CH"/>
              </w:rPr>
              <w:tab/>
            </w:r>
            <w:r w:rsidR="00BB487A" w:rsidRPr="005C162B">
              <w:rPr>
                <w:rStyle w:val="Hyperlink"/>
              </w:rPr>
              <w:t>Arten von Besitz</w:t>
            </w:r>
            <w:r w:rsidR="00BB487A">
              <w:rPr>
                <w:webHidden/>
              </w:rPr>
              <w:tab/>
            </w:r>
            <w:r w:rsidR="00BB487A">
              <w:rPr>
                <w:webHidden/>
              </w:rPr>
              <w:fldChar w:fldCharType="begin"/>
            </w:r>
            <w:r w:rsidR="00BB487A">
              <w:rPr>
                <w:webHidden/>
              </w:rPr>
              <w:instrText xml:space="preserve"> PAGEREF _Toc409600265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6" w:history="1">
            <w:r w:rsidR="00BB487A" w:rsidRPr="005C162B">
              <w:rPr>
                <w:rStyle w:val="Hyperlink"/>
              </w:rPr>
              <w:t>5.1.2</w:t>
            </w:r>
            <w:r w:rsidR="00BB487A">
              <w:rPr>
                <w:rFonts w:asciiTheme="minorHAnsi" w:eastAsiaTheme="minorEastAsia" w:hAnsiTheme="minorHAnsi" w:cstheme="minorBidi"/>
                <w:sz w:val="22"/>
                <w:szCs w:val="22"/>
                <w:lang w:eastAsia="de-CH"/>
              </w:rPr>
              <w:tab/>
            </w:r>
            <w:r w:rsidR="00BB487A" w:rsidRPr="005C162B">
              <w:rPr>
                <w:rStyle w:val="Hyperlink"/>
              </w:rPr>
              <w:t>Übertragung des Besitzes</w:t>
            </w:r>
            <w:r w:rsidR="00BB487A">
              <w:rPr>
                <w:webHidden/>
              </w:rPr>
              <w:tab/>
            </w:r>
            <w:r w:rsidR="00BB487A">
              <w:rPr>
                <w:webHidden/>
              </w:rPr>
              <w:fldChar w:fldCharType="begin"/>
            </w:r>
            <w:r w:rsidR="00BB487A">
              <w:rPr>
                <w:webHidden/>
              </w:rPr>
              <w:instrText xml:space="preserve"> PAGEREF _Toc409600266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67" w:history="1">
            <w:r w:rsidR="00BB487A" w:rsidRPr="005C162B">
              <w:rPr>
                <w:rStyle w:val="Hyperlink"/>
              </w:rPr>
              <w:t>5.2</w:t>
            </w:r>
            <w:r w:rsidR="00BB487A">
              <w:rPr>
                <w:rFonts w:asciiTheme="minorHAnsi" w:eastAsiaTheme="minorEastAsia" w:hAnsiTheme="minorHAnsi" w:cstheme="minorBidi"/>
                <w:sz w:val="22"/>
                <w:szCs w:val="22"/>
                <w:lang w:eastAsia="de-CH"/>
              </w:rPr>
              <w:tab/>
            </w:r>
            <w:r w:rsidR="00BB487A" w:rsidRPr="005C162B">
              <w:rPr>
                <w:rStyle w:val="Hyperlink"/>
              </w:rPr>
              <w:t>Grundbuch</w:t>
            </w:r>
            <w:r w:rsidR="00BB487A">
              <w:rPr>
                <w:webHidden/>
              </w:rPr>
              <w:tab/>
            </w:r>
            <w:r w:rsidR="00BB487A">
              <w:rPr>
                <w:webHidden/>
              </w:rPr>
              <w:fldChar w:fldCharType="begin"/>
            </w:r>
            <w:r w:rsidR="00BB487A">
              <w:rPr>
                <w:webHidden/>
              </w:rPr>
              <w:instrText xml:space="preserve"> PAGEREF _Toc409600267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8" w:history="1">
            <w:r w:rsidR="00BB487A" w:rsidRPr="005C162B">
              <w:rPr>
                <w:rStyle w:val="Hyperlink"/>
              </w:rPr>
              <w:t>5.2.1</w:t>
            </w:r>
            <w:r w:rsidR="00BB487A">
              <w:rPr>
                <w:rFonts w:asciiTheme="minorHAnsi" w:eastAsiaTheme="minorEastAsia" w:hAnsiTheme="minorHAnsi" w:cstheme="minorBidi"/>
                <w:sz w:val="22"/>
                <w:szCs w:val="22"/>
                <w:lang w:eastAsia="de-CH"/>
              </w:rPr>
              <w:tab/>
            </w:r>
            <w:r w:rsidR="00BB487A" w:rsidRPr="005C162B">
              <w:rPr>
                <w:rStyle w:val="Hyperlink"/>
              </w:rPr>
              <w:t>Bestandteile des Grundbuches</w:t>
            </w:r>
            <w:r w:rsidR="00BB487A">
              <w:rPr>
                <w:webHidden/>
              </w:rPr>
              <w:tab/>
            </w:r>
            <w:r w:rsidR="00BB487A">
              <w:rPr>
                <w:webHidden/>
              </w:rPr>
              <w:fldChar w:fldCharType="begin"/>
            </w:r>
            <w:r w:rsidR="00BB487A">
              <w:rPr>
                <w:webHidden/>
              </w:rPr>
              <w:instrText xml:space="preserve"> PAGEREF _Toc409600268 \h </w:instrText>
            </w:r>
            <w:r w:rsidR="00BB487A">
              <w:rPr>
                <w:webHidden/>
              </w:rPr>
            </w:r>
            <w:r w:rsidR="00BB487A">
              <w:rPr>
                <w:webHidden/>
              </w:rPr>
              <w:fldChar w:fldCharType="separate"/>
            </w:r>
            <w:r w:rsidR="00BB487A">
              <w:rPr>
                <w:webHidden/>
              </w:rPr>
              <w:t>10</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69" w:history="1">
            <w:r w:rsidR="00BB487A" w:rsidRPr="005C162B">
              <w:rPr>
                <w:rStyle w:val="Hyperlink"/>
              </w:rPr>
              <w:t>5.2.2</w:t>
            </w:r>
            <w:r w:rsidR="00BB487A">
              <w:rPr>
                <w:rFonts w:asciiTheme="minorHAnsi" w:eastAsiaTheme="minorEastAsia" w:hAnsiTheme="minorHAnsi" w:cstheme="minorBidi"/>
                <w:sz w:val="22"/>
                <w:szCs w:val="22"/>
                <w:lang w:eastAsia="de-CH"/>
              </w:rPr>
              <w:tab/>
            </w:r>
            <w:r w:rsidR="00BB487A" w:rsidRPr="005C162B">
              <w:rPr>
                <w:rStyle w:val="Hyperlink"/>
              </w:rPr>
              <w:t>Erfordernis an den Grundbucheintrag</w:t>
            </w:r>
            <w:r w:rsidR="00BB487A">
              <w:rPr>
                <w:webHidden/>
              </w:rPr>
              <w:tab/>
            </w:r>
            <w:r w:rsidR="00BB487A">
              <w:rPr>
                <w:webHidden/>
              </w:rPr>
              <w:fldChar w:fldCharType="begin"/>
            </w:r>
            <w:r w:rsidR="00BB487A">
              <w:rPr>
                <w:webHidden/>
              </w:rPr>
              <w:instrText xml:space="preserve"> PAGEREF _Toc409600269 \h </w:instrText>
            </w:r>
            <w:r w:rsidR="00BB487A">
              <w:rPr>
                <w:webHidden/>
              </w:rPr>
            </w:r>
            <w:r w:rsidR="00BB487A">
              <w:rPr>
                <w:webHidden/>
              </w:rPr>
              <w:fldChar w:fldCharType="separate"/>
            </w:r>
            <w:r w:rsidR="00BB487A">
              <w:rPr>
                <w:webHidden/>
              </w:rPr>
              <w:t>11</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70" w:history="1">
            <w:r w:rsidR="00BB487A" w:rsidRPr="005C162B">
              <w:rPr>
                <w:rStyle w:val="Hyperlink"/>
              </w:rPr>
              <w:t>5.2.3</w:t>
            </w:r>
            <w:r w:rsidR="00BB487A">
              <w:rPr>
                <w:rFonts w:asciiTheme="minorHAnsi" w:eastAsiaTheme="minorEastAsia" w:hAnsiTheme="minorHAnsi" w:cstheme="minorBidi"/>
                <w:sz w:val="22"/>
                <w:szCs w:val="22"/>
                <w:lang w:eastAsia="de-CH"/>
              </w:rPr>
              <w:tab/>
            </w:r>
            <w:r w:rsidR="00BB487A" w:rsidRPr="005C162B">
              <w:rPr>
                <w:rStyle w:val="Hyperlink"/>
              </w:rPr>
              <w:t>Wirkung des Grundbuches</w:t>
            </w:r>
            <w:r w:rsidR="00BB487A">
              <w:rPr>
                <w:webHidden/>
              </w:rPr>
              <w:tab/>
            </w:r>
            <w:r w:rsidR="00BB487A">
              <w:rPr>
                <w:webHidden/>
              </w:rPr>
              <w:fldChar w:fldCharType="begin"/>
            </w:r>
            <w:r w:rsidR="00BB487A">
              <w:rPr>
                <w:webHidden/>
              </w:rPr>
              <w:instrText xml:space="preserve"> PAGEREF _Toc409600270 \h </w:instrText>
            </w:r>
            <w:r w:rsidR="00BB487A">
              <w:rPr>
                <w:webHidden/>
              </w:rPr>
            </w:r>
            <w:r w:rsidR="00BB487A">
              <w:rPr>
                <w:webHidden/>
              </w:rPr>
              <w:fldChar w:fldCharType="separate"/>
            </w:r>
            <w:r w:rsidR="00BB487A">
              <w:rPr>
                <w:webHidden/>
              </w:rPr>
              <w:t>11</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71" w:history="1">
            <w:r w:rsidR="00BB487A" w:rsidRPr="005C162B">
              <w:rPr>
                <w:rStyle w:val="Hyperlink"/>
              </w:rPr>
              <w:t>5.2.4</w:t>
            </w:r>
            <w:r w:rsidR="00BB487A">
              <w:rPr>
                <w:rFonts w:asciiTheme="minorHAnsi" w:eastAsiaTheme="minorEastAsia" w:hAnsiTheme="minorHAnsi" w:cstheme="minorBidi"/>
                <w:sz w:val="22"/>
                <w:szCs w:val="22"/>
                <w:lang w:eastAsia="de-CH"/>
              </w:rPr>
              <w:tab/>
            </w:r>
            <w:r w:rsidR="00BB487A" w:rsidRPr="005C162B">
              <w:rPr>
                <w:rStyle w:val="Hyperlink"/>
              </w:rPr>
              <w:t>Weitere Grundsätze für das Grundbuch</w:t>
            </w:r>
            <w:r w:rsidR="00BB487A">
              <w:rPr>
                <w:webHidden/>
              </w:rPr>
              <w:tab/>
            </w:r>
            <w:r w:rsidR="00BB487A">
              <w:rPr>
                <w:webHidden/>
              </w:rPr>
              <w:fldChar w:fldCharType="begin"/>
            </w:r>
            <w:r w:rsidR="00BB487A">
              <w:rPr>
                <w:webHidden/>
              </w:rPr>
              <w:instrText xml:space="preserve"> PAGEREF _Toc409600271 \h </w:instrText>
            </w:r>
            <w:r w:rsidR="00BB487A">
              <w:rPr>
                <w:webHidden/>
              </w:rPr>
            </w:r>
            <w:r w:rsidR="00BB487A">
              <w:rPr>
                <w:webHidden/>
              </w:rPr>
              <w:fldChar w:fldCharType="separate"/>
            </w:r>
            <w:r w:rsidR="00BB487A">
              <w:rPr>
                <w:webHidden/>
              </w:rPr>
              <w:t>11</w:t>
            </w:r>
            <w:r w:rsidR="00BB487A">
              <w:rPr>
                <w:webHidden/>
              </w:rPr>
              <w:fldChar w:fldCharType="end"/>
            </w:r>
          </w:hyperlink>
        </w:p>
        <w:p w:rsidR="00BB487A" w:rsidRDefault="00323022">
          <w:pPr>
            <w:pStyle w:val="Verzeichnis3"/>
            <w:rPr>
              <w:rFonts w:asciiTheme="minorHAnsi" w:eastAsiaTheme="minorEastAsia" w:hAnsiTheme="minorHAnsi" w:cstheme="minorBidi"/>
              <w:sz w:val="22"/>
              <w:szCs w:val="22"/>
              <w:lang w:eastAsia="de-CH"/>
            </w:rPr>
          </w:pPr>
          <w:hyperlink w:anchor="_Toc409600272" w:history="1">
            <w:r w:rsidR="00BB487A" w:rsidRPr="005C162B">
              <w:rPr>
                <w:rStyle w:val="Hyperlink"/>
              </w:rPr>
              <w:t>5.2.5</w:t>
            </w:r>
            <w:r w:rsidR="00BB487A">
              <w:rPr>
                <w:rFonts w:asciiTheme="minorHAnsi" w:eastAsiaTheme="minorEastAsia" w:hAnsiTheme="minorHAnsi" w:cstheme="minorBidi"/>
                <w:sz w:val="22"/>
                <w:szCs w:val="22"/>
                <w:lang w:eastAsia="de-CH"/>
              </w:rPr>
              <w:tab/>
            </w:r>
            <w:r w:rsidR="00BB487A" w:rsidRPr="005C162B">
              <w:rPr>
                <w:rStyle w:val="Hyperlink"/>
              </w:rPr>
              <w:t>Grundbuchführung im Kanton Aargau</w:t>
            </w:r>
            <w:r w:rsidR="00BB487A">
              <w:rPr>
                <w:webHidden/>
              </w:rPr>
              <w:tab/>
            </w:r>
            <w:r w:rsidR="00BB487A">
              <w:rPr>
                <w:webHidden/>
              </w:rPr>
              <w:fldChar w:fldCharType="begin"/>
            </w:r>
            <w:r w:rsidR="00BB487A">
              <w:rPr>
                <w:webHidden/>
              </w:rPr>
              <w:instrText xml:space="preserve"> PAGEREF _Toc409600272 \h </w:instrText>
            </w:r>
            <w:r w:rsidR="00BB487A">
              <w:rPr>
                <w:webHidden/>
              </w:rPr>
            </w:r>
            <w:r w:rsidR="00BB487A">
              <w:rPr>
                <w:webHidden/>
              </w:rPr>
              <w:fldChar w:fldCharType="separate"/>
            </w:r>
            <w:r w:rsidR="00BB487A">
              <w:rPr>
                <w:webHidden/>
              </w:rPr>
              <w:t>12</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73" w:history="1">
            <w:r w:rsidR="00BB487A" w:rsidRPr="005C162B">
              <w:rPr>
                <w:rStyle w:val="Hyperlink"/>
              </w:rPr>
              <w:t>6</w:t>
            </w:r>
            <w:r w:rsidR="00BB487A">
              <w:rPr>
                <w:rFonts w:asciiTheme="minorHAnsi" w:eastAsiaTheme="minorEastAsia" w:hAnsiTheme="minorHAnsi" w:cstheme="minorBidi"/>
                <w:b w:val="0"/>
                <w:sz w:val="22"/>
                <w:szCs w:val="22"/>
                <w:lang w:eastAsia="de-CH"/>
              </w:rPr>
              <w:tab/>
            </w:r>
            <w:r w:rsidR="00BB487A" w:rsidRPr="005C162B">
              <w:rPr>
                <w:rStyle w:val="Hyperlink"/>
              </w:rPr>
              <w:t>Liegenschaftsverzeichnis der Gemeinden</w:t>
            </w:r>
            <w:r w:rsidR="00BB487A">
              <w:rPr>
                <w:webHidden/>
              </w:rPr>
              <w:tab/>
            </w:r>
            <w:r w:rsidR="00BB487A">
              <w:rPr>
                <w:webHidden/>
              </w:rPr>
              <w:fldChar w:fldCharType="begin"/>
            </w:r>
            <w:r w:rsidR="00BB487A">
              <w:rPr>
                <w:webHidden/>
              </w:rPr>
              <w:instrText xml:space="preserve"> PAGEREF _Toc409600273 \h </w:instrText>
            </w:r>
            <w:r w:rsidR="00BB487A">
              <w:rPr>
                <w:webHidden/>
              </w:rPr>
            </w:r>
            <w:r w:rsidR="00BB487A">
              <w:rPr>
                <w:webHidden/>
              </w:rPr>
              <w:fldChar w:fldCharType="separate"/>
            </w:r>
            <w:r w:rsidR="00BB487A">
              <w:rPr>
                <w:webHidden/>
              </w:rPr>
              <w:t>13</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74" w:history="1">
            <w:r w:rsidR="00BB487A" w:rsidRPr="005C162B">
              <w:rPr>
                <w:rStyle w:val="Hyperlink"/>
              </w:rPr>
              <w:t>7</w:t>
            </w:r>
            <w:r w:rsidR="00BB487A">
              <w:rPr>
                <w:rFonts w:asciiTheme="minorHAnsi" w:eastAsiaTheme="minorEastAsia" w:hAnsiTheme="minorHAnsi" w:cstheme="minorBidi"/>
                <w:b w:val="0"/>
                <w:sz w:val="22"/>
                <w:szCs w:val="22"/>
                <w:lang w:eastAsia="de-CH"/>
              </w:rPr>
              <w:tab/>
            </w:r>
            <w:r w:rsidR="00BB487A" w:rsidRPr="005C162B">
              <w:rPr>
                <w:rStyle w:val="Hyperlink"/>
              </w:rPr>
              <w:t>Öffentliche Beurkundung</w:t>
            </w:r>
            <w:r w:rsidR="00BB487A">
              <w:rPr>
                <w:webHidden/>
              </w:rPr>
              <w:tab/>
            </w:r>
            <w:r w:rsidR="00BB487A">
              <w:rPr>
                <w:webHidden/>
              </w:rPr>
              <w:fldChar w:fldCharType="begin"/>
            </w:r>
            <w:r w:rsidR="00BB487A">
              <w:rPr>
                <w:webHidden/>
              </w:rPr>
              <w:instrText xml:space="preserve"> PAGEREF _Toc409600274 \h </w:instrText>
            </w:r>
            <w:r w:rsidR="00BB487A">
              <w:rPr>
                <w:webHidden/>
              </w:rPr>
            </w:r>
            <w:r w:rsidR="00BB487A">
              <w:rPr>
                <w:webHidden/>
              </w:rPr>
              <w:fldChar w:fldCharType="separate"/>
            </w:r>
            <w:r w:rsidR="00BB487A">
              <w:rPr>
                <w:webHidden/>
              </w:rPr>
              <w:t>14</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75" w:history="1">
            <w:r w:rsidR="00BB487A" w:rsidRPr="005C162B">
              <w:rPr>
                <w:rStyle w:val="Hyperlink"/>
              </w:rPr>
              <w:t>7.1</w:t>
            </w:r>
            <w:r w:rsidR="00BB487A">
              <w:rPr>
                <w:rFonts w:asciiTheme="minorHAnsi" w:eastAsiaTheme="minorEastAsia" w:hAnsiTheme="minorHAnsi" w:cstheme="minorBidi"/>
                <w:sz w:val="22"/>
                <w:szCs w:val="22"/>
                <w:lang w:eastAsia="de-CH"/>
              </w:rPr>
              <w:tab/>
            </w:r>
            <w:r w:rsidR="00BB487A" w:rsidRPr="005C162B">
              <w:rPr>
                <w:rStyle w:val="Hyperlink"/>
              </w:rPr>
              <w:t>Inhalt des Beurkundungsrechts</w:t>
            </w:r>
            <w:r w:rsidR="00BB487A">
              <w:rPr>
                <w:webHidden/>
              </w:rPr>
              <w:tab/>
            </w:r>
            <w:r w:rsidR="00BB487A">
              <w:rPr>
                <w:webHidden/>
              </w:rPr>
              <w:fldChar w:fldCharType="begin"/>
            </w:r>
            <w:r w:rsidR="00BB487A">
              <w:rPr>
                <w:webHidden/>
              </w:rPr>
              <w:instrText xml:space="preserve"> PAGEREF _Toc409600275 \h </w:instrText>
            </w:r>
            <w:r w:rsidR="00BB487A">
              <w:rPr>
                <w:webHidden/>
              </w:rPr>
            </w:r>
            <w:r w:rsidR="00BB487A">
              <w:rPr>
                <w:webHidden/>
              </w:rPr>
              <w:fldChar w:fldCharType="separate"/>
            </w:r>
            <w:r w:rsidR="00BB487A">
              <w:rPr>
                <w:webHidden/>
              </w:rPr>
              <w:t>14</w:t>
            </w:r>
            <w:r w:rsidR="00BB487A">
              <w:rPr>
                <w:webHidden/>
              </w:rPr>
              <w:fldChar w:fldCharType="end"/>
            </w:r>
          </w:hyperlink>
        </w:p>
        <w:p w:rsidR="00BB487A" w:rsidRDefault="00323022">
          <w:pPr>
            <w:pStyle w:val="Verzeichnis1"/>
            <w:rPr>
              <w:rFonts w:asciiTheme="minorHAnsi" w:eastAsiaTheme="minorEastAsia" w:hAnsiTheme="minorHAnsi" w:cstheme="minorBidi"/>
              <w:b w:val="0"/>
              <w:sz w:val="22"/>
              <w:szCs w:val="22"/>
              <w:lang w:eastAsia="de-CH"/>
            </w:rPr>
          </w:pPr>
          <w:hyperlink w:anchor="_Toc409600276" w:history="1">
            <w:r w:rsidR="00BB487A" w:rsidRPr="005C162B">
              <w:rPr>
                <w:rStyle w:val="Hyperlink"/>
              </w:rPr>
              <w:t>8</w:t>
            </w:r>
            <w:r w:rsidR="00BB487A">
              <w:rPr>
                <w:rFonts w:asciiTheme="minorHAnsi" w:eastAsiaTheme="minorEastAsia" w:hAnsiTheme="minorHAnsi" w:cstheme="minorBidi"/>
                <w:b w:val="0"/>
                <w:sz w:val="22"/>
                <w:szCs w:val="22"/>
                <w:lang w:eastAsia="de-CH"/>
              </w:rPr>
              <w:tab/>
            </w:r>
            <w:r w:rsidR="00BB487A" w:rsidRPr="005C162B">
              <w:rPr>
                <w:rStyle w:val="Hyperlink"/>
              </w:rPr>
              <w:t>Amtliche Beglaubigung</w:t>
            </w:r>
            <w:r w:rsidR="00BB487A">
              <w:rPr>
                <w:webHidden/>
              </w:rPr>
              <w:tab/>
            </w:r>
            <w:r w:rsidR="00BB487A">
              <w:rPr>
                <w:webHidden/>
              </w:rPr>
              <w:fldChar w:fldCharType="begin"/>
            </w:r>
            <w:r w:rsidR="00BB487A">
              <w:rPr>
                <w:webHidden/>
              </w:rPr>
              <w:instrText xml:space="preserve"> PAGEREF _Toc409600276 \h </w:instrText>
            </w:r>
            <w:r w:rsidR="00BB487A">
              <w:rPr>
                <w:webHidden/>
              </w:rPr>
            </w:r>
            <w:r w:rsidR="00BB487A">
              <w:rPr>
                <w:webHidden/>
              </w:rPr>
              <w:fldChar w:fldCharType="separate"/>
            </w:r>
            <w:r w:rsidR="00BB487A">
              <w:rPr>
                <w:webHidden/>
              </w:rPr>
              <w:t>15</w:t>
            </w:r>
            <w:r w:rsidR="00BB487A">
              <w:rPr>
                <w:webHidden/>
              </w:rPr>
              <w:fldChar w:fldCharType="end"/>
            </w:r>
          </w:hyperlink>
        </w:p>
        <w:p w:rsidR="00BB487A" w:rsidRDefault="00323022">
          <w:pPr>
            <w:pStyle w:val="Verzeichnis2"/>
            <w:rPr>
              <w:rFonts w:asciiTheme="minorHAnsi" w:eastAsiaTheme="minorEastAsia" w:hAnsiTheme="minorHAnsi" w:cstheme="minorBidi"/>
              <w:sz w:val="22"/>
              <w:szCs w:val="22"/>
              <w:lang w:eastAsia="de-CH"/>
            </w:rPr>
          </w:pPr>
          <w:hyperlink w:anchor="_Toc409600277" w:history="1">
            <w:r w:rsidR="00BB487A" w:rsidRPr="005C162B">
              <w:rPr>
                <w:rStyle w:val="Hyperlink"/>
              </w:rPr>
              <w:t>8.1</w:t>
            </w:r>
            <w:r w:rsidR="00BB487A">
              <w:rPr>
                <w:rFonts w:asciiTheme="minorHAnsi" w:eastAsiaTheme="minorEastAsia" w:hAnsiTheme="minorHAnsi" w:cstheme="minorBidi"/>
                <w:sz w:val="22"/>
                <w:szCs w:val="22"/>
                <w:lang w:eastAsia="de-CH"/>
              </w:rPr>
              <w:tab/>
            </w:r>
            <w:r w:rsidR="00BB487A" w:rsidRPr="005C162B">
              <w:rPr>
                <w:rStyle w:val="Hyperlink"/>
              </w:rPr>
              <w:t>Arten der amtlichen Beglaubigung</w:t>
            </w:r>
            <w:r w:rsidR="00BB487A">
              <w:rPr>
                <w:webHidden/>
              </w:rPr>
              <w:tab/>
            </w:r>
            <w:r w:rsidR="00BB487A">
              <w:rPr>
                <w:webHidden/>
              </w:rPr>
              <w:fldChar w:fldCharType="begin"/>
            </w:r>
            <w:r w:rsidR="00BB487A">
              <w:rPr>
                <w:webHidden/>
              </w:rPr>
              <w:instrText xml:space="preserve"> PAGEREF _Toc409600277 \h </w:instrText>
            </w:r>
            <w:r w:rsidR="00BB487A">
              <w:rPr>
                <w:webHidden/>
              </w:rPr>
            </w:r>
            <w:r w:rsidR="00BB487A">
              <w:rPr>
                <w:webHidden/>
              </w:rPr>
              <w:fldChar w:fldCharType="separate"/>
            </w:r>
            <w:r w:rsidR="00BB487A">
              <w:rPr>
                <w:webHidden/>
              </w:rPr>
              <w:t>15</w:t>
            </w:r>
            <w:r w:rsidR="00BB487A">
              <w:rPr>
                <w:webHidden/>
              </w:rPr>
              <w:fldChar w:fldCharType="end"/>
            </w:r>
          </w:hyperlink>
        </w:p>
        <w:p w:rsidR="00811341" w:rsidRDefault="00811341" w:rsidP="00811341">
          <w:pPr>
            <w:pStyle w:val="Verzeichnis1"/>
          </w:pPr>
          <w:r>
            <w:rPr>
              <w:b w:val="0"/>
              <w:bCs/>
              <w:lang w:val="de-DE"/>
            </w:rPr>
            <w:fldChar w:fldCharType="end"/>
          </w:r>
        </w:p>
      </w:sdtContent>
    </w:sdt>
    <w:p w:rsidR="004733FE" w:rsidRPr="00DE6063" w:rsidRDefault="004733FE" w:rsidP="00AC09DA">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401C8C" w:rsidRDefault="0027480D" w:rsidP="00401C8C">
      <w:pPr>
        <w:pStyle w:val="berschrift1"/>
      </w:pPr>
      <w:bookmarkStart w:id="1" w:name="_Toc404511890"/>
      <w:bookmarkStart w:id="2" w:name="_Toc409600237"/>
      <w:r>
        <w:lastRenderedPageBreak/>
        <w:t>Einleitung</w:t>
      </w:r>
      <w:bookmarkEnd w:id="1"/>
      <w:bookmarkEnd w:id="2"/>
    </w:p>
    <w:p w:rsidR="00401C8C" w:rsidRPr="000041F0" w:rsidRDefault="0027480D" w:rsidP="000041F0">
      <w:pPr>
        <w:pStyle w:val="Text"/>
      </w:pPr>
      <w:r w:rsidRPr="000041F0">
        <w:t>Das Sachenrecht ist die Ordnung der Rechte an Sachen. Sachen im Rechtssinne sind unpe</w:t>
      </w:r>
      <w:r w:rsidRPr="000041F0">
        <w:t>r</w:t>
      </w:r>
      <w:r w:rsidRPr="000041F0">
        <w:t>sönliche, körperliche für sich bestehende Gegenstände, die der menschlichen Herrschaft u</w:t>
      </w:r>
      <w:r w:rsidRPr="000041F0">
        <w:t>n</w:t>
      </w:r>
      <w:r w:rsidRPr="000041F0">
        <w:t>terworf</w:t>
      </w:r>
      <w:r w:rsidR="00724583" w:rsidRPr="000041F0">
        <w:t>en sind (wirtschaftlicher Wert wie zum Beispiel Gebrauchsgegenstände, Waren, Grund und Boden). Sachen werden in bewegliche und unbewegliche (Fahrnis und Grundstücke) u</w:t>
      </w:r>
      <w:r w:rsidR="00724583" w:rsidRPr="000041F0">
        <w:t>n</w:t>
      </w:r>
      <w:r w:rsidR="00724583" w:rsidRPr="000041F0">
        <w:t>terschieden. An Sachen können sowohl der Eigentümer als auch Drittpersonen (z.B. Besitzer, Mieter, Pächter, Nachbar, Gläubiger) Rechte besitzen.</w:t>
      </w:r>
    </w:p>
    <w:p w:rsidR="00724583" w:rsidRDefault="005D3F45" w:rsidP="00724583">
      <w:pPr>
        <w:pStyle w:val="berschrift1"/>
      </w:pPr>
      <w:bookmarkStart w:id="3" w:name="_Toc404511891"/>
      <w:bookmarkStart w:id="4" w:name="_Toc409600238"/>
      <w:r>
        <w:lastRenderedPageBreak/>
        <w:t>B</w:t>
      </w:r>
      <w:r w:rsidR="00724583">
        <w:t>egriff und Arten der Sachenrechte</w:t>
      </w:r>
      <w:bookmarkEnd w:id="3"/>
      <w:bookmarkEnd w:id="4"/>
    </w:p>
    <w:p w:rsidR="00724583" w:rsidRDefault="00724583" w:rsidP="00724583">
      <w:pPr>
        <w:pStyle w:val="berschrift2"/>
      </w:pPr>
      <w:bookmarkStart w:id="5" w:name="_Toc404511892"/>
      <w:bookmarkStart w:id="6" w:name="_Toc409600239"/>
      <w:r>
        <w:t>Sachen</w:t>
      </w:r>
      <w:r w:rsidR="003D73FB">
        <w:t>-</w:t>
      </w:r>
      <w:r>
        <w:t xml:space="preserve"> und Obligationenrecht</w:t>
      </w:r>
      <w:bookmarkEnd w:id="5"/>
      <w:bookmarkEnd w:id="6"/>
    </w:p>
    <w:p w:rsidR="00724583" w:rsidRDefault="00724583" w:rsidP="00724583">
      <w:pPr>
        <w:pStyle w:val="Text"/>
      </w:pPr>
      <w:r>
        <w:t>Das Sachenrecht bildet zusammen mit dem Obligationenrecht den Kernbereich des Verm</w:t>
      </w:r>
      <w:r>
        <w:t>ö</w:t>
      </w:r>
      <w:r>
        <w:t>gensrechts.</w:t>
      </w:r>
    </w:p>
    <w:p w:rsidR="00724583" w:rsidRDefault="00724583" w:rsidP="00724583">
      <w:pPr>
        <w:pStyle w:val="Text"/>
      </w:pPr>
    </w:p>
    <w:p w:rsidR="00724583" w:rsidRDefault="00724583" w:rsidP="00724583">
      <w:pPr>
        <w:pStyle w:val="Text"/>
      </w:pPr>
      <w:r>
        <w:t>Das dingliche Recht (Sachenrecht) ist ein die Sache selbst erfassendes Recht wie zum Beispiel das Eigentum an einem Grundstück. Es besteht gegenüber jedermann</w:t>
      </w:r>
      <w:r w:rsidR="00CA16E7">
        <w:t xml:space="preserve"> und kann gegen jeden störenden Eingriff geltend gemacht werden.</w:t>
      </w:r>
    </w:p>
    <w:p w:rsidR="00CA16E7" w:rsidRDefault="00CA16E7" w:rsidP="00724583">
      <w:pPr>
        <w:pStyle w:val="Text"/>
      </w:pPr>
    </w:p>
    <w:p w:rsidR="00CA16E7" w:rsidRDefault="00CA16E7" w:rsidP="00CA16E7">
      <w:pPr>
        <w:pStyle w:val="Text"/>
      </w:pPr>
      <w:r>
        <w:t>Das obligatorische Recht (Obligationenrecht) dagegen erfasst die Sache nur durch eine b</w:t>
      </w:r>
      <w:r>
        <w:t>e</w:t>
      </w:r>
      <w:r>
        <w:t>stimmte Person. Sein Inhalt ist ein persönlicher Anspruch gegenüber dieser Person und ve</w:t>
      </w:r>
      <w:r>
        <w:t>r</w:t>
      </w:r>
      <w:r>
        <w:t>pflichtet diese zu einem Handeln oder Unterlassen, das dem Berechtigten einen Vermögen</w:t>
      </w:r>
      <w:r>
        <w:t>s</w:t>
      </w:r>
      <w:r>
        <w:t>vorteil verschafft. Das Obligationenrecht wird auch Forderungsrecht genannt.</w:t>
      </w:r>
    </w:p>
    <w:p w:rsidR="00CA16E7" w:rsidRDefault="00CA16E7" w:rsidP="00CA16E7">
      <w:pPr>
        <w:pStyle w:val="Text"/>
      </w:pPr>
    </w:p>
    <w:p w:rsidR="00CA16E7" w:rsidRDefault="00CA16E7" w:rsidP="00CA16E7">
      <w:pPr>
        <w:pStyle w:val="TextDoppelpunkt"/>
      </w:pPr>
      <w:r>
        <w:t>Wo liegt der Unterschied zwischen Sachen- und Obligationenrecht</w:t>
      </w:r>
      <w:r w:rsidR="00437504">
        <w:t>?</w:t>
      </w:r>
    </w:p>
    <w:p w:rsidR="00437504" w:rsidRDefault="00437504" w:rsidP="00437504">
      <w:pPr>
        <w:pStyle w:val="AufzhlungszeichenText"/>
      </w:pPr>
      <w:r>
        <w:t>Das Eigentum an Geld und der Kasse (Sachenrecht)</w:t>
      </w:r>
    </w:p>
    <w:p w:rsidR="00437504" w:rsidRDefault="00437504" w:rsidP="00437504">
      <w:pPr>
        <w:pStyle w:val="AufzhlungszeichenText"/>
      </w:pPr>
      <w:r>
        <w:t>Eine Forderung gegen eine Bank (Obligationenrecht)</w:t>
      </w:r>
    </w:p>
    <w:p w:rsidR="00437504" w:rsidRDefault="00437504" w:rsidP="00437504">
      <w:pPr>
        <w:pStyle w:val="AufzhlungszeichenText"/>
      </w:pPr>
      <w:r>
        <w:t xml:space="preserve">Das dingliche Wohnrecht an einem Haus (Sachenrecht) </w:t>
      </w:r>
    </w:p>
    <w:p w:rsidR="00437504" w:rsidRDefault="00E466C2" w:rsidP="00437504">
      <w:pPr>
        <w:pStyle w:val="AufzhlungszeichenText"/>
      </w:pPr>
      <w:r>
        <w:t>D</w:t>
      </w:r>
      <w:r w:rsidR="00437504">
        <w:t>as obligatorische Mietrecht an einer Liegenschaft (Obligationenrecht)</w:t>
      </w:r>
    </w:p>
    <w:p w:rsidR="00CA16E7" w:rsidRDefault="00CA16E7" w:rsidP="00CA16E7">
      <w:pPr>
        <w:pStyle w:val="TextDoppelpunkt"/>
      </w:pPr>
    </w:p>
    <w:p w:rsidR="00CA16E7" w:rsidRDefault="00CA16E7" w:rsidP="00CA16E7">
      <w:pPr>
        <w:pStyle w:val="berschrift2"/>
      </w:pPr>
      <w:bookmarkStart w:id="7" w:name="_Toc404511893"/>
      <w:bookmarkStart w:id="8" w:name="_Toc409600240"/>
      <w:r>
        <w:t>Dingliche Rechte nach Gesetz</w:t>
      </w:r>
      <w:bookmarkEnd w:id="7"/>
      <w:bookmarkEnd w:id="8"/>
    </w:p>
    <w:p w:rsidR="00CA16E7" w:rsidRDefault="00CA16E7" w:rsidP="00CA16E7">
      <w:pPr>
        <w:pStyle w:val="Text"/>
      </w:pPr>
      <w:r>
        <w:t>Das Gesetz kennt das Eigentum und die beschränkten dinglichen Rechte (Dienstbarkeiten, Grundlasten, Grund- und Fahrnispfand).</w:t>
      </w:r>
    </w:p>
    <w:p w:rsidR="00CA16E7" w:rsidRDefault="009D3422" w:rsidP="009D3422">
      <w:pPr>
        <w:pStyle w:val="berschrift1"/>
      </w:pPr>
      <w:bookmarkStart w:id="9" w:name="_Toc404511894"/>
      <w:bookmarkStart w:id="10" w:name="_Toc409600241"/>
      <w:r>
        <w:lastRenderedPageBreak/>
        <w:t>Das Eigentum</w:t>
      </w:r>
      <w:bookmarkEnd w:id="9"/>
      <w:bookmarkEnd w:id="10"/>
    </w:p>
    <w:p w:rsidR="009D3422" w:rsidRDefault="009D3422" w:rsidP="009D3422">
      <w:pPr>
        <w:pStyle w:val="berschrift2"/>
      </w:pPr>
      <w:bookmarkStart w:id="11" w:name="_Toc404511895"/>
      <w:bookmarkStart w:id="12" w:name="_Toc409600242"/>
      <w:r>
        <w:t>Inhalt und Umfang</w:t>
      </w:r>
      <w:bookmarkEnd w:id="11"/>
      <w:bookmarkEnd w:id="12"/>
    </w:p>
    <w:p w:rsidR="005D3F45" w:rsidRDefault="009D3422" w:rsidP="009D3422">
      <w:pPr>
        <w:pStyle w:val="TextDoppelpunkt"/>
      </w:pPr>
      <w:r>
        <w:t>Das Eigentum ist das umfassendste Recht an einer Sache. Es verschafft seinem Träger alle diejenigen Befugnisse, welche in den Schranken der Rechtsordnung zu einer Sache bestehen können. Der Eigentümer kann vor allem:</w:t>
      </w:r>
    </w:p>
    <w:p w:rsidR="009D3422" w:rsidRDefault="009D3422" w:rsidP="00DC30B0">
      <w:pPr>
        <w:pStyle w:val="Text"/>
      </w:pPr>
      <w:r>
        <w:t>Wirtschaftlich und rechtlich über die Sache verfügen, indem er sie nutzt, umgestaltet, eine</w:t>
      </w:r>
      <w:r w:rsidR="00E466C2">
        <w:t>m</w:t>
      </w:r>
      <w:r>
        <w:t xml:space="preserve"> bestimmten Zweck zuführt, verpfändet, verkauft; die Sache herausverlangen, wo er sie </w:t>
      </w:r>
      <w:r w:rsidR="002F4AF8">
        <w:t>findet</w:t>
      </w:r>
      <w:r>
        <w:t>; fremde Eingriffe abwehren, die mit seinem Eigentum nicht verträglich sind.</w:t>
      </w:r>
    </w:p>
    <w:p w:rsidR="00DC30B0" w:rsidRDefault="00DC30B0" w:rsidP="00DC30B0">
      <w:pPr>
        <w:pStyle w:val="Text"/>
      </w:pPr>
    </w:p>
    <w:p w:rsidR="009D3422" w:rsidRPr="009D3422" w:rsidRDefault="009D3422" w:rsidP="009D3422">
      <w:pPr>
        <w:pStyle w:val="Text"/>
        <w:rPr>
          <w:b/>
          <w:bCs/>
        </w:rPr>
      </w:pPr>
      <w:r w:rsidRPr="009D3422">
        <w:rPr>
          <w:b/>
          <w:bCs/>
        </w:rPr>
        <w:t>Umfang</w:t>
      </w:r>
    </w:p>
    <w:p w:rsidR="009D3422" w:rsidRDefault="009D3422" w:rsidP="00AD4A87">
      <w:pPr>
        <w:pStyle w:val="Text"/>
      </w:pPr>
      <w:r>
        <w:t>Das Eigentum erstreckt sich über die ganze Sache, mit ihren Bestandteilen, natürlichen Früc</w:t>
      </w:r>
      <w:r>
        <w:t>h</w:t>
      </w:r>
      <w:r>
        <w:t>ten und der Zugehör.</w:t>
      </w:r>
    </w:p>
    <w:p w:rsidR="00AD4A87" w:rsidRDefault="00AD4A87" w:rsidP="00AD4A87">
      <w:pPr>
        <w:pStyle w:val="Text"/>
      </w:pPr>
    </w:p>
    <w:p w:rsidR="009D3422" w:rsidRDefault="009D3422" w:rsidP="009D3422">
      <w:pPr>
        <w:pStyle w:val="Text"/>
        <w:rPr>
          <w:b/>
          <w:bCs/>
        </w:rPr>
      </w:pPr>
      <w:r>
        <w:rPr>
          <w:b/>
          <w:bCs/>
        </w:rPr>
        <w:t>Bestandteile</w:t>
      </w:r>
    </w:p>
    <w:p w:rsidR="008E1339" w:rsidRDefault="009D3422" w:rsidP="00DC30B0">
      <w:pPr>
        <w:pStyle w:val="TextDoppelpunkt"/>
      </w:pPr>
      <w:r>
        <w:t>Dafür müssen folgende drei Voraussetzungen erfüllt sein:</w:t>
      </w:r>
    </w:p>
    <w:p w:rsidR="004B5722" w:rsidRDefault="004B5722" w:rsidP="004B5722">
      <w:pPr>
        <w:pStyle w:val="AufzhlungszeichenText"/>
        <w:numPr>
          <w:ilvl w:val="0"/>
          <w:numId w:val="0"/>
        </w:numPr>
        <w:tabs>
          <w:tab w:val="clear" w:pos="1418"/>
          <w:tab w:val="left" w:pos="1701"/>
        </w:tabs>
        <w:ind w:left="1134" w:firstLine="284"/>
      </w:pPr>
      <w:r>
        <w:t>-</w:t>
      </w:r>
      <w:r>
        <w:tab/>
        <w:t>Innere Verbindung</w:t>
      </w:r>
    </w:p>
    <w:p w:rsidR="004B5722" w:rsidRDefault="004B5722" w:rsidP="004B5722">
      <w:pPr>
        <w:pStyle w:val="AufzhlungszeichenText"/>
        <w:numPr>
          <w:ilvl w:val="0"/>
          <w:numId w:val="0"/>
        </w:numPr>
        <w:tabs>
          <w:tab w:val="clear" w:pos="1418"/>
          <w:tab w:val="left" w:pos="1701"/>
        </w:tabs>
        <w:ind w:left="1134" w:firstLine="284"/>
      </w:pPr>
      <w:r>
        <w:t>-</w:t>
      </w:r>
      <w:r>
        <w:tab/>
        <w:t>Ä</w:t>
      </w:r>
      <w:r w:rsidR="009D3422">
        <w:t>usserlicher körperlicher Zusammenhang zwischen dem Bestandteil und der Sache</w:t>
      </w:r>
    </w:p>
    <w:p w:rsidR="009D3422" w:rsidRDefault="004B5722" w:rsidP="004B5722">
      <w:pPr>
        <w:pStyle w:val="AufzhlungszeichenText"/>
        <w:numPr>
          <w:ilvl w:val="0"/>
          <w:numId w:val="0"/>
        </w:numPr>
        <w:tabs>
          <w:tab w:val="clear" w:pos="1418"/>
          <w:tab w:val="left" w:pos="1701"/>
        </w:tabs>
        <w:ind w:left="1134" w:firstLine="284"/>
      </w:pPr>
      <w:r>
        <w:t xml:space="preserve">- </w:t>
      </w:r>
      <w:r>
        <w:tab/>
      </w:r>
      <w:r w:rsidR="009D3422">
        <w:t>da</w:t>
      </w:r>
      <w:r>
        <w:t>uernde</w:t>
      </w:r>
      <w:r w:rsidR="00323022">
        <w:t>r</w:t>
      </w:r>
      <w:r>
        <w:t xml:space="preserve"> Zustand dieser Beziehung</w:t>
      </w:r>
    </w:p>
    <w:p w:rsidR="004B5722" w:rsidRDefault="004B5722" w:rsidP="004B5722">
      <w:pPr>
        <w:pStyle w:val="AufzhlungszeichenText"/>
        <w:numPr>
          <w:ilvl w:val="0"/>
          <w:numId w:val="0"/>
        </w:numPr>
        <w:tabs>
          <w:tab w:val="clear" w:pos="1418"/>
        </w:tabs>
        <w:ind w:left="1134"/>
      </w:pPr>
    </w:p>
    <w:p w:rsidR="00FD5EEF" w:rsidRDefault="009D3422" w:rsidP="004B5722">
      <w:pPr>
        <w:pStyle w:val="AufzhlungszeichenText"/>
        <w:numPr>
          <w:ilvl w:val="0"/>
          <w:numId w:val="0"/>
        </w:numPr>
        <w:tabs>
          <w:tab w:val="clear" w:pos="1418"/>
        </w:tabs>
        <w:ind w:left="1134"/>
      </w:pPr>
      <w:r>
        <w:t>Bestandteil ist somit alles, was nach örtlicher Auffassung zur Hauptsache gehört und ohne d</w:t>
      </w:r>
      <w:r>
        <w:t>e</w:t>
      </w:r>
      <w:r>
        <w:t>ren Zerstörung, Beschädigung oder Veränderung nicht abgetrennt werden kann. Unsere Vo</w:t>
      </w:r>
      <w:r>
        <w:t>r</w:t>
      </w:r>
      <w:r>
        <w:t>fahren haben häufig und zutreffend als Bestandteile bezeichnet, was mit einer Sache niet- und nagelfest verbunden war. So gehören Dach, Fenster und Türen notwendigerweise zum Haus. Ebenso notwendigerweise ist das Rad Bestandteil e</w:t>
      </w:r>
      <w:r w:rsidR="00FD5EEF">
        <w:t>iner Maschine oder eines Wagens.</w:t>
      </w:r>
      <w:r w:rsidR="00323022">
        <w:t xml:space="preserve"> </w:t>
      </w:r>
      <w:r w:rsidR="007E7AA8">
        <w:t>Das dingliche Recht an der Hauptsache umfasst auch das Recht an den Bestandteilen. Keine B</w:t>
      </w:r>
      <w:r w:rsidR="007E7AA8">
        <w:t>e</w:t>
      </w:r>
      <w:r w:rsidR="007E7AA8">
        <w:t>standteile des Bodens sind: Fahrnisbauten (Hütten, Baracken), Baurecht (Recht, auf fre</w:t>
      </w:r>
      <w:r w:rsidR="007E7AA8">
        <w:t>m</w:t>
      </w:r>
      <w:r w:rsidR="007E7AA8">
        <w:t>de</w:t>
      </w:r>
      <w:r w:rsidR="00E466C2">
        <w:t>m</w:t>
      </w:r>
      <w:r w:rsidR="007E7AA8">
        <w:t xml:space="preserve"> Boden ein Bauwerk zu errichten) und Stockwerkeigentum (Miteigentumsanteil an einem Grun</w:t>
      </w:r>
      <w:r w:rsidR="007E7AA8">
        <w:t>d</w:t>
      </w:r>
      <w:r w:rsidR="007E7AA8">
        <w:t>stück mit Sonderrecht an einem bestimmten abgeschlossenen Gebäudeteil).</w:t>
      </w:r>
    </w:p>
    <w:p w:rsidR="00DC30B0" w:rsidRDefault="00DC30B0" w:rsidP="00DC30B0">
      <w:pPr>
        <w:pStyle w:val="Text"/>
      </w:pPr>
    </w:p>
    <w:p w:rsidR="007E7AA8" w:rsidRDefault="007E7AA8" w:rsidP="007E7AA8">
      <w:pPr>
        <w:pStyle w:val="Text"/>
        <w:rPr>
          <w:b/>
          <w:bCs/>
        </w:rPr>
      </w:pPr>
      <w:r w:rsidRPr="007E7AA8">
        <w:rPr>
          <w:b/>
          <w:bCs/>
        </w:rPr>
        <w:t>N</w:t>
      </w:r>
      <w:r>
        <w:rPr>
          <w:b/>
          <w:bCs/>
        </w:rPr>
        <w:t>atürliche Früchte</w:t>
      </w:r>
    </w:p>
    <w:p w:rsidR="007E7AA8" w:rsidRDefault="007E7AA8" w:rsidP="00AD4A87">
      <w:pPr>
        <w:pStyle w:val="Text"/>
      </w:pPr>
      <w:r>
        <w:t>Natürliche Früchte sind die Erträgnisse einer Sache, zum Beispiel Feld- und Baumfrüchte, Be</w:t>
      </w:r>
      <w:r>
        <w:t>e</w:t>
      </w:r>
      <w:r>
        <w:t>ren, Kies aus Kiesgruben, Steine aus Steinbruch, aber auch kraft eines Rechtsverhältnisses wie Miet-, Pacht- und Kapitalzinse</w:t>
      </w:r>
      <w:r w:rsidR="00E466C2">
        <w:t>n</w:t>
      </w:r>
      <w:r>
        <w:t>. Bei den natürlichen Früchten werden diese mit der Tre</w:t>
      </w:r>
      <w:r>
        <w:t>n</w:t>
      </w:r>
      <w:r>
        <w:t>nung von der Hauptsache zur selbständigen Sache und können in das Eigentum eines anderen übergehen (Gilt eigentlich als Bestandteil der Muttersache, solange sie mit ihr verbunden ist).</w:t>
      </w:r>
    </w:p>
    <w:p w:rsidR="00AD4A87" w:rsidRDefault="00AD4A87" w:rsidP="00AD4A87">
      <w:pPr>
        <w:pStyle w:val="Text"/>
      </w:pPr>
    </w:p>
    <w:p w:rsidR="007E7AA8" w:rsidRDefault="007E7AA8" w:rsidP="007E7AA8">
      <w:pPr>
        <w:pStyle w:val="Text"/>
        <w:rPr>
          <w:b/>
          <w:bCs/>
        </w:rPr>
      </w:pPr>
      <w:r>
        <w:rPr>
          <w:b/>
          <w:bCs/>
        </w:rPr>
        <w:t>Zugehör</w:t>
      </w:r>
    </w:p>
    <w:p w:rsidR="007E7AA8" w:rsidRDefault="007E7AA8" w:rsidP="0014715E">
      <w:pPr>
        <w:pStyle w:val="TextDoppelpunkt"/>
      </w:pPr>
      <w:r>
        <w:t>In erster Linie ist hervorzuheben, dass nach ZGB nur bewegliche Sachen als Zugehör in B</w:t>
      </w:r>
      <w:r>
        <w:t>e</w:t>
      </w:r>
      <w:r>
        <w:t>tracht kommen. Die Zugehör ist sodann an folgende weitere Voraussetzungen gebunden:</w:t>
      </w:r>
    </w:p>
    <w:p w:rsidR="007E7AA8" w:rsidRDefault="008E1339" w:rsidP="00AD4A87">
      <w:pPr>
        <w:pStyle w:val="Text"/>
      </w:pPr>
      <w:r>
        <w:t>Zwischen der Hauptsache und der Zugehör müssen ein äusserer oder räumlicher und ein inn</w:t>
      </w:r>
      <w:r>
        <w:t>e</w:t>
      </w:r>
      <w:r>
        <w:t>rer oder wirtschaftlicher Zusammenhang, also eine Sachbeziehung und eine Zweckbeziehung, bestehen. Die Zugehör ist also eine bewegliche Sache, die dauern</w:t>
      </w:r>
      <w:r w:rsidR="00E466C2">
        <w:t>d</w:t>
      </w:r>
      <w:r>
        <w:t xml:space="preserve"> zur Bewirtschaftung, B</w:t>
      </w:r>
      <w:r>
        <w:t>e</w:t>
      </w:r>
      <w:r>
        <w:t>nutzung oder Verwahrung der Hauptsache dient und durch Verbindung oder Anpassung wah</w:t>
      </w:r>
      <w:r>
        <w:t>r</w:t>
      </w:r>
      <w:r>
        <w:t>nehmbar zur Hauptsache steht. Sie muss entweder nach Ortsgebrauch oder nach dem Willen des Eigentümers als Zugehör erklärt sein, wie zum Beispiel Hotelmobiliar zum Hotel, Met</w:t>
      </w:r>
      <w:r>
        <w:t>z</w:t>
      </w:r>
      <w:r>
        <w:t>gereiinventar zur Metzgerei oder Maschinen zum Fabrikbetrieb. Verbrauchbare Sachen und Tiere können nicht Zugehör sein.</w:t>
      </w:r>
    </w:p>
    <w:p w:rsidR="00AD4A87" w:rsidRDefault="00AD4A87" w:rsidP="00AD4A87">
      <w:pPr>
        <w:pStyle w:val="Text"/>
      </w:pPr>
    </w:p>
    <w:p w:rsidR="00AD4A87" w:rsidRDefault="00AD4A87" w:rsidP="00C00E81">
      <w:pPr>
        <w:pStyle w:val="Text"/>
      </w:pPr>
      <w:bookmarkStart w:id="13" w:name="_Toc404511896"/>
      <w:r>
        <w:br w:type="page"/>
      </w:r>
    </w:p>
    <w:p w:rsidR="008E1339" w:rsidRDefault="008E1339" w:rsidP="008E1339">
      <w:pPr>
        <w:pStyle w:val="berschrift3"/>
      </w:pPr>
      <w:bookmarkStart w:id="14" w:name="_Toc409600243"/>
      <w:r>
        <w:lastRenderedPageBreak/>
        <w:t>Eigentumsverhältnisse</w:t>
      </w:r>
      <w:bookmarkEnd w:id="13"/>
      <w:bookmarkEnd w:id="14"/>
    </w:p>
    <w:p w:rsidR="008E1339" w:rsidRDefault="008E1339" w:rsidP="008E1339">
      <w:pPr>
        <w:pStyle w:val="Text"/>
        <w:rPr>
          <w:b/>
          <w:bCs/>
        </w:rPr>
      </w:pPr>
      <w:r>
        <w:rPr>
          <w:b/>
          <w:bCs/>
        </w:rPr>
        <w:t>Alleineigentum</w:t>
      </w:r>
    </w:p>
    <w:p w:rsidR="008E1339" w:rsidRDefault="008E1339" w:rsidP="00AD4A87">
      <w:pPr>
        <w:pStyle w:val="Text"/>
      </w:pPr>
      <w:r>
        <w:t>Von Alleineigentum spricht man, wenn eine Sache einer Person allein zu Eigentum gehört.</w:t>
      </w:r>
    </w:p>
    <w:p w:rsidR="00AD4A87" w:rsidRDefault="00AD4A87" w:rsidP="00AD4A87">
      <w:pPr>
        <w:pStyle w:val="Text"/>
      </w:pPr>
    </w:p>
    <w:p w:rsidR="008E1339" w:rsidRDefault="003F515C" w:rsidP="008E1339">
      <w:pPr>
        <w:pStyle w:val="Text"/>
        <w:rPr>
          <w:b/>
          <w:bCs/>
        </w:rPr>
      </w:pPr>
      <w:r>
        <w:rPr>
          <w:b/>
          <w:bCs/>
        </w:rPr>
        <w:t>Miteigentum</w:t>
      </w:r>
    </w:p>
    <w:p w:rsidR="003F515C" w:rsidRDefault="003F515C" w:rsidP="00AD4A87">
      <w:pPr>
        <w:pStyle w:val="Text"/>
      </w:pPr>
      <w:r>
        <w:t>Haben mehrere Personen eine Sache nach Bruchteilen (z.B. ½, ¼) und ohne äusserliche Abte</w:t>
      </w:r>
      <w:r>
        <w:t>i</w:t>
      </w:r>
      <w:r>
        <w:t>lung in ihrem Eigentum, so sind sie Miteigentümer. Das Miteigentum kann vertraglich vereinbart werden oder besteht von Gesetzes wegen (Grenzmauern, gemeinsame Einfriedigungen). Jeder Miteigentümer kann über seine Miteigentumsquote frei verfügen unter dem Vorbehalt des g</w:t>
      </w:r>
      <w:r>
        <w:t>e</w:t>
      </w:r>
      <w:r>
        <w:t>setzlichen Vorkaufsrechtes des oder der Miteigentümer.</w:t>
      </w:r>
    </w:p>
    <w:p w:rsidR="003F515C" w:rsidRDefault="003F515C" w:rsidP="00AD4A87">
      <w:pPr>
        <w:pStyle w:val="Text"/>
      </w:pPr>
    </w:p>
    <w:p w:rsidR="003F515C" w:rsidRDefault="003F515C" w:rsidP="003F515C">
      <w:pPr>
        <w:pStyle w:val="Text"/>
        <w:rPr>
          <w:b/>
          <w:bCs/>
        </w:rPr>
      </w:pPr>
      <w:r>
        <w:rPr>
          <w:b/>
          <w:bCs/>
        </w:rPr>
        <w:t>Gesamteigentum</w:t>
      </w:r>
    </w:p>
    <w:p w:rsidR="003F515C" w:rsidRDefault="003F515C" w:rsidP="003F515C">
      <w:pPr>
        <w:pStyle w:val="TextDoppelpunkt"/>
      </w:pPr>
      <w:r>
        <w:t>Das Gesamteigentum ist Eigentum mehrerer Personen, die durch ein Grundverhältnis gesetzl</w:t>
      </w:r>
      <w:r>
        <w:t>i</w:t>
      </w:r>
      <w:r>
        <w:t>cher Art (Erben- oder Gütergemeinschaft) oder vertraglicher Natur (einfache Gesellschaft, Ko</w:t>
      </w:r>
      <w:r>
        <w:t>l</w:t>
      </w:r>
      <w:r>
        <w:t>lektivgesellschaft) zu einer Gemeinschaft verbunden sind. Das Verfügungsrecht über die Sache steht nur der Gesamtheit der Eigentümer zu. Das Beteiligungsverhältnis der einzelnen Eige</w:t>
      </w:r>
      <w:r>
        <w:t>n</w:t>
      </w:r>
      <w:r>
        <w:t>tümer innerhalb der Gemeinschaft ist am Eigentum der Sache nach aussen nicht erkennbar.</w:t>
      </w:r>
    </w:p>
    <w:p w:rsidR="00AD4A87" w:rsidRDefault="00AD4A87" w:rsidP="00AD4A87">
      <w:pPr>
        <w:pStyle w:val="Text"/>
      </w:pPr>
    </w:p>
    <w:p w:rsidR="003F515C" w:rsidRDefault="003F515C" w:rsidP="003F515C">
      <w:pPr>
        <w:pStyle w:val="berschrift3"/>
      </w:pPr>
      <w:bookmarkStart w:id="15" w:name="_Toc404511897"/>
      <w:bookmarkStart w:id="16" w:name="_Toc409600244"/>
      <w:r>
        <w:t>Eigentümer</w:t>
      </w:r>
      <w:bookmarkEnd w:id="15"/>
      <w:bookmarkEnd w:id="16"/>
    </w:p>
    <w:p w:rsidR="003F515C" w:rsidRDefault="003F515C" w:rsidP="00AD4A87">
      <w:pPr>
        <w:pStyle w:val="Text"/>
      </w:pPr>
      <w:r>
        <w:t>Eigentümer an einer Sache können die natürlichen und die juristischen Personen sowie öffen</w:t>
      </w:r>
      <w:r>
        <w:t>t</w:t>
      </w:r>
      <w:r>
        <w:t>lich</w:t>
      </w:r>
      <w:r w:rsidR="0014715E">
        <w:noBreakHyphen/>
      </w:r>
      <w:r>
        <w:t>rechtliche Körperschaften (z.B. Bund, Gemeinden, Kirchgemeinden) sein.</w:t>
      </w:r>
    </w:p>
    <w:p w:rsidR="002F4AF8" w:rsidRDefault="002F4AF8" w:rsidP="00AD4A87">
      <w:pPr>
        <w:pStyle w:val="Text"/>
      </w:pPr>
    </w:p>
    <w:p w:rsidR="003F515C" w:rsidRDefault="003F515C" w:rsidP="003F515C">
      <w:pPr>
        <w:pStyle w:val="berschrift2"/>
      </w:pPr>
      <w:bookmarkStart w:id="17" w:name="_Toc404511898"/>
      <w:bookmarkStart w:id="18" w:name="_Toc409600245"/>
      <w:r>
        <w:t>Das Grundeigentum</w:t>
      </w:r>
      <w:bookmarkEnd w:id="17"/>
      <w:bookmarkEnd w:id="18"/>
    </w:p>
    <w:p w:rsidR="003F515C" w:rsidRDefault="003F515C" w:rsidP="00AD4A87">
      <w:pPr>
        <w:pStyle w:val="Text"/>
      </w:pPr>
      <w:r>
        <w:t>Gegenstand des Grundeigentums sind die Grundstücke.</w:t>
      </w:r>
    </w:p>
    <w:p w:rsidR="003F515C" w:rsidRDefault="003F515C" w:rsidP="00AD4A87">
      <w:pPr>
        <w:pStyle w:val="Text"/>
      </w:pPr>
      <w:r>
        <w:t>Nach dem ZGB steht der Begriff des Grundstückes für unbewegliche Sachen und für bestimmte Kategorien von Rechten, also für alle Objekte, die in das Grund</w:t>
      </w:r>
      <w:r w:rsidR="00E466C2">
        <w:t>b</w:t>
      </w:r>
      <w:r>
        <w:t>uch aufgenommen und in di</w:t>
      </w:r>
      <w:r>
        <w:t>e</w:t>
      </w:r>
      <w:r>
        <w:t>sem durch ein eigenes Blatt individualisiert werden können.</w:t>
      </w:r>
    </w:p>
    <w:p w:rsidR="00AD4A87" w:rsidRDefault="00AD4A87" w:rsidP="00AD4A87">
      <w:pPr>
        <w:pStyle w:val="Text"/>
      </w:pPr>
    </w:p>
    <w:p w:rsidR="00BF0A71" w:rsidRDefault="009A23F7" w:rsidP="00BF0A71">
      <w:pPr>
        <w:pStyle w:val="berschrift3"/>
      </w:pPr>
      <w:bookmarkStart w:id="19" w:name="_Toc404511899"/>
      <w:bookmarkStart w:id="20" w:name="_Toc409600246"/>
      <w:r>
        <w:t>Grundstücke nach Gesetz</w:t>
      </w:r>
      <w:bookmarkEnd w:id="19"/>
      <w:bookmarkEnd w:id="20"/>
    </w:p>
    <w:p w:rsidR="009A23F7" w:rsidRDefault="009A23F7" w:rsidP="009A23F7">
      <w:pPr>
        <w:pStyle w:val="Text"/>
        <w:rPr>
          <w:b/>
          <w:bCs/>
        </w:rPr>
      </w:pPr>
      <w:r>
        <w:rPr>
          <w:b/>
          <w:bCs/>
        </w:rPr>
        <w:t>Liegenschaften</w:t>
      </w:r>
    </w:p>
    <w:p w:rsidR="009A23F7" w:rsidRDefault="009A23F7" w:rsidP="00AD4A87">
      <w:pPr>
        <w:pStyle w:val="Text"/>
      </w:pPr>
      <w:r>
        <w:t>Darunter sind fest begrenzte Teile der Bodenfläche, mit oder ohne Bauten, zu verstehen.</w:t>
      </w:r>
    </w:p>
    <w:p w:rsidR="00AD4A87" w:rsidRDefault="00AD4A87" w:rsidP="00AD4A87">
      <w:pPr>
        <w:pStyle w:val="Text"/>
      </w:pPr>
    </w:p>
    <w:p w:rsidR="009A23F7" w:rsidRDefault="009A23F7" w:rsidP="009A23F7">
      <w:pPr>
        <w:pStyle w:val="Text"/>
        <w:rPr>
          <w:b/>
          <w:bCs/>
        </w:rPr>
      </w:pPr>
      <w:r>
        <w:rPr>
          <w:b/>
          <w:bCs/>
        </w:rPr>
        <w:t>In das Grundbuch aufgenommene selbständige und dauernde Rechte</w:t>
      </w:r>
    </w:p>
    <w:p w:rsidR="009A23F7" w:rsidRDefault="009A23F7" w:rsidP="00AD4A87">
      <w:pPr>
        <w:pStyle w:val="Text"/>
      </w:pPr>
      <w:r>
        <w:t>Darunter fallen die beschränkten dinglichen Rechte, die nicht zu Gunsten eines bestimmten herrschenden Grundstücks, noch ausschliesslich zu Gunsten einer bestimmten Person b</w:t>
      </w:r>
      <w:r>
        <w:t>e</w:t>
      </w:r>
      <w:r>
        <w:t>gründet wurden, sondern übertragbar und vererblich sind. Dauernd gilt ein Recht, wenn es auf wenigstens dreissig Jahre oder auf unbestimmte Zeit begründet wird. Dazu gehören vor allem Baurechte, Quellenrechte, Wasserrechtsverleihungen.</w:t>
      </w:r>
    </w:p>
    <w:p w:rsidR="00AD4A87" w:rsidRDefault="00AD4A87" w:rsidP="00AD4A87">
      <w:pPr>
        <w:pStyle w:val="Text"/>
      </w:pPr>
    </w:p>
    <w:p w:rsidR="009A23F7" w:rsidRDefault="009A23F7" w:rsidP="009A23F7">
      <w:pPr>
        <w:pStyle w:val="Text"/>
        <w:rPr>
          <w:b/>
          <w:bCs/>
        </w:rPr>
      </w:pPr>
      <w:r>
        <w:rPr>
          <w:b/>
          <w:bCs/>
        </w:rPr>
        <w:t>Miteigentumsanteile an Grundstücken</w:t>
      </w:r>
    </w:p>
    <w:p w:rsidR="009A23F7" w:rsidRDefault="009A23F7" w:rsidP="00AD4A87">
      <w:pPr>
        <w:pStyle w:val="Text"/>
      </w:pPr>
      <w:r>
        <w:t>Miteigentum an der Sache nach Bruchteilen.</w:t>
      </w:r>
    </w:p>
    <w:p w:rsidR="004B5722" w:rsidRDefault="004B5722" w:rsidP="004B5722">
      <w:pPr>
        <w:pStyle w:val="Text"/>
        <w:ind w:left="1418"/>
        <w:rPr>
          <w:bCs/>
          <w:u w:val="single"/>
        </w:rPr>
      </w:pPr>
    </w:p>
    <w:p w:rsidR="007F5AC6" w:rsidRPr="004B5722" w:rsidRDefault="009A23F7" w:rsidP="004B5722">
      <w:pPr>
        <w:pStyle w:val="Text"/>
        <w:ind w:left="1418"/>
        <w:rPr>
          <w:bCs/>
          <w:u w:val="single"/>
        </w:rPr>
      </w:pPr>
      <w:r w:rsidRPr="004B5722">
        <w:rPr>
          <w:bCs/>
          <w:u w:val="single"/>
        </w:rPr>
        <w:t>St</w:t>
      </w:r>
      <w:r w:rsidR="007F5AC6" w:rsidRPr="004B5722">
        <w:rPr>
          <w:bCs/>
          <w:u w:val="single"/>
        </w:rPr>
        <w:t>ockwerkeigentum</w:t>
      </w:r>
      <w:r w:rsidR="004B5722">
        <w:rPr>
          <w:bCs/>
          <w:u w:val="single"/>
        </w:rPr>
        <w:t xml:space="preserve"> (Variante von Miteigentum)</w:t>
      </w:r>
    </w:p>
    <w:p w:rsidR="007F5AC6" w:rsidRDefault="007F5AC6" w:rsidP="00323022">
      <w:pPr>
        <w:pStyle w:val="Text"/>
        <w:ind w:left="1418"/>
      </w:pPr>
      <w:r>
        <w:t>Stockwerkeigentum ist der Miteigentumsanteil an einem Grundstück (Boden samt Gebä</w:t>
      </w:r>
      <w:r>
        <w:t>u</w:t>
      </w:r>
      <w:r>
        <w:t>de), der dem Miteigentümer das Sonderrecht gibt, bestimmte in sich abgeschlossene Teile des Gebäudes (Wohnung, Werkstatt, Garage) für sich zu benützen und im Inneren ausz</w:t>
      </w:r>
      <w:r>
        <w:t>u</w:t>
      </w:r>
      <w:r>
        <w:t>bauen. Begründet wird das Stockwerkeigentum durch Eintragung im Grundbuch.</w:t>
      </w:r>
      <w:r w:rsidR="00323022">
        <w:t xml:space="preserve"> </w:t>
      </w:r>
      <w:r>
        <w:t>Neben der alleinigen Benützung seines Sondereigentums steht dem Stockwerkeigentümer das Mitb</w:t>
      </w:r>
      <w:r>
        <w:t>e</w:t>
      </w:r>
      <w:r>
        <w:t>nützungsrecht an gemeinschaftlichen Bauteilen, Anlagen und Einrichtungen (wie Treppe</w:t>
      </w:r>
      <w:r>
        <w:t>n</w:t>
      </w:r>
      <w:r>
        <w:t>haus, Lift, Einstellräume usw.) zu.</w:t>
      </w:r>
    </w:p>
    <w:p w:rsidR="00323022" w:rsidRDefault="00323022" w:rsidP="00323022">
      <w:pPr>
        <w:pStyle w:val="Text"/>
        <w:ind w:left="1418"/>
      </w:pPr>
      <w:bookmarkStart w:id="21" w:name="_GoBack"/>
      <w:bookmarkEnd w:id="21"/>
    </w:p>
    <w:p w:rsidR="007F5AC6" w:rsidRDefault="007F5AC6" w:rsidP="007F5AC6">
      <w:pPr>
        <w:pStyle w:val="Text"/>
        <w:rPr>
          <w:b/>
          <w:bCs/>
        </w:rPr>
      </w:pPr>
      <w:r>
        <w:rPr>
          <w:b/>
          <w:bCs/>
        </w:rPr>
        <w:t>Bergwerke</w:t>
      </w:r>
    </w:p>
    <w:p w:rsidR="007F5AC6" w:rsidRDefault="007F5AC6" w:rsidP="00AD4A87">
      <w:pPr>
        <w:pStyle w:val="Text"/>
      </w:pPr>
      <w:r>
        <w:t>Damit ist nicht das Bergwerk selbst, sondern das Recht zu verstehen, das Erdinnere auf Ro</w:t>
      </w:r>
      <w:r>
        <w:t>h</w:t>
      </w:r>
      <w:r>
        <w:t>stoffe auszubeuten.</w:t>
      </w:r>
    </w:p>
    <w:p w:rsidR="007F5AC6" w:rsidRDefault="007F5AC6" w:rsidP="007F5AC6">
      <w:pPr>
        <w:pStyle w:val="berschrift3"/>
      </w:pPr>
      <w:bookmarkStart w:id="22" w:name="_Toc404511900"/>
      <w:bookmarkStart w:id="23" w:name="_Toc409600247"/>
      <w:r>
        <w:lastRenderedPageBreak/>
        <w:t>Inhalt des Grundeigentums</w:t>
      </w:r>
      <w:bookmarkEnd w:id="22"/>
      <w:bookmarkEnd w:id="23"/>
    </w:p>
    <w:p w:rsidR="007F5AC6" w:rsidRDefault="007F5AC6" w:rsidP="00AD4A87">
      <w:pPr>
        <w:pStyle w:val="Text"/>
      </w:pPr>
      <w:r w:rsidRPr="00AD4A87">
        <w:t>Das Eigentum umfasst räumlich den Grund und Boden bis zur Grenze. Die Grenzen werden durch Marksteine und Bolzen, eventuell durch Zäune, Bäche, Wege usw. bestimmt. Massg</w:t>
      </w:r>
      <w:r w:rsidRPr="00AD4A87">
        <w:t>e</w:t>
      </w:r>
      <w:r w:rsidRPr="00AD4A87">
        <w:t xml:space="preserve">blich für die Grenzen sind in vermessenen Gemeinden die </w:t>
      </w:r>
      <w:r w:rsidR="002F4AF8" w:rsidRPr="00AD4A87">
        <w:t>amtlichen</w:t>
      </w:r>
      <w:r w:rsidRPr="00AD4A87">
        <w:t xml:space="preserve"> Vermessungspläne. Nach oben in den Luftraum und nach unten in das Erdreich erstreckt sich das Eigentum, soweit für die Ausübung desselben ein Interesse besteht. Das Grundeigentum umfasst auch alle Bauten, Pflanzen und Quellen, mit Ausnahme der selbständigen und dauernden Baurechte und Que</w:t>
      </w:r>
      <w:r w:rsidRPr="00AD4A87">
        <w:t>l</w:t>
      </w:r>
      <w:r w:rsidRPr="00AD4A87">
        <w:t>lenrechte sowie Fahrnisbauten.</w:t>
      </w:r>
    </w:p>
    <w:p w:rsidR="00AD4A87" w:rsidRPr="00AD4A87" w:rsidRDefault="00AD4A87" w:rsidP="00AD4A87">
      <w:pPr>
        <w:pStyle w:val="Text"/>
      </w:pPr>
    </w:p>
    <w:p w:rsidR="007F5AC6" w:rsidRDefault="00995D8D" w:rsidP="00995D8D">
      <w:pPr>
        <w:pStyle w:val="berschrift3"/>
      </w:pPr>
      <w:bookmarkStart w:id="24" w:name="_Toc404511901"/>
      <w:bookmarkStart w:id="25" w:name="_Toc409600248"/>
      <w:r>
        <w:t>Erwerb von Grundeigentum</w:t>
      </w:r>
      <w:bookmarkEnd w:id="24"/>
      <w:bookmarkEnd w:id="25"/>
    </w:p>
    <w:p w:rsidR="00995D8D" w:rsidRDefault="00995D8D" w:rsidP="00995D8D">
      <w:pPr>
        <w:pStyle w:val="TextDoppelpunkt"/>
      </w:pPr>
      <w:r>
        <w:t>Beim Erwerb von Grundeigentum wird zwischen buchlichem und ausserbuchlichem Erwerb u</w:t>
      </w:r>
      <w:r>
        <w:t>n</w:t>
      </w:r>
      <w:r>
        <w:t>terschieden. In beiden Fällen bedarf es jedoch der Eintragung in das Grundbuch (Eintragung</w:t>
      </w:r>
      <w:r>
        <w:t>s</w:t>
      </w:r>
      <w:r>
        <w:t xml:space="preserve">prinzip). Der </w:t>
      </w:r>
      <w:r w:rsidR="002F4AF8">
        <w:t>bu</w:t>
      </w:r>
      <w:r w:rsidR="00E466C2">
        <w:t>ch</w:t>
      </w:r>
      <w:r w:rsidR="002F4AF8">
        <w:t>liche</w:t>
      </w:r>
      <w:r>
        <w:t xml:space="preserve"> Erwerb gilt bei rechtsgeschäftlichem Erwerb von Grundeigentum, Bsp.:</w:t>
      </w:r>
    </w:p>
    <w:p w:rsidR="00995D8D" w:rsidRPr="00AD4A87" w:rsidRDefault="00995D8D" w:rsidP="00AD4A87">
      <w:pPr>
        <w:pStyle w:val="AufzhlungszeichenText"/>
      </w:pPr>
      <w:r w:rsidRPr="00AD4A87">
        <w:t>Kaufvertrag</w:t>
      </w:r>
    </w:p>
    <w:p w:rsidR="00995D8D" w:rsidRPr="00AD4A87" w:rsidRDefault="00995D8D" w:rsidP="00AD4A87">
      <w:pPr>
        <w:pStyle w:val="AufzhlungszeichenText"/>
      </w:pPr>
      <w:r w:rsidRPr="00AD4A87">
        <w:t>Freiwillige Steigerung</w:t>
      </w:r>
    </w:p>
    <w:p w:rsidR="00995D8D" w:rsidRPr="00AD4A87" w:rsidRDefault="00995D8D" w:rsidP="00AD4A87">
      <w:pPr>
        <w:pStyle w:val="AufzhlungszeichenText"/>
      </w:pPr>
      <w:r w:rsidRPr="00AD4A87">
        <w:t>Tausch</w:t>
      </w:r>
    </w:p>
    <w:p w:rsidR="00995D8D" w:rsidRPr="00AD4A87" w:rsidRDefault="00995D8D" w:rsidP="00AD4A87">
      <w:pPr>
        <w:pStyle w:val="AufzhlungszeichenText"/>
      </w:pPr>
      <w:r w:rsidRPr="00AD4A87">
        <w:t>Schenkung</w:t>
      </w:r>
    </w:p>
    <w:p w:rsidR="00995D8D" w:rsidRPr="00AD4A87" w:rsidRDefault="00995D8D" w:rsidP="00AD4A87">
      <w:pPr>
        <w:pStyle w:val="AufzhlungszeichenText"/>
      </w:pPr>
      <w:r w:rsidRPr="00AD4A87">
        <w:t>Erbteilung</w:t>
      </w:r>
    </w:p>
    <w:p w:rsidR="00AD4A87" w:rsidRDefault="00AD4A87" w:rsidP="00AD4A87">
      <w:pPr>
        <w:pStyle w:val="Text"/>
      </w:pPr>
    </w:p>
    <w:p w:rsidR="00995D8D" w:rsidRDefault="00995D8D" w:rsidP="00AD4A87">
      <w:pPr>
        <w:pStyle w:val="Text"/>
      </w:pPr>
      <w:r>
        <w:t>Das Grundeigentum wird somit erst mit der Eintragung des Rechtsgeschäftes im Grundbuch erworben.</w:t>
      </w:r>
    </w:p>
    <w:p w:rsidR="0014715E" w:rsidRDefault="0014715E" w:rsidP="00AD4A87">
      <w:pPr>
        <w:pStyle w:val="Text"/>
      </w:pPr>
    </w:p>
    <w:p w:rsidR="00995D8D" w:rsidRDefault="00995D8D" w:rsidP="00AD4A87">
      <w:pPr>
        <w:pStyle w:val="Text"/>
      </w:pPr>
      <w:r>
        <w:t>Beim ausserbuchlichen Erwerb geht das Eigentum ohne</w:t>
      </w:r>
      <w:r w:rsidR="00E466C2">
        <w:t xml:space="preserve">, </w:t>
      </w:r>
      <w:r>
        <w:t>d.h. vor dem Eintrag in das Grun</w:t>
      </w:r>
      <w:r>
        <w:t>d</w:t>
      </w:r>
      <w:r>
        <w:t>buch auf den Erwerber über. Nur durch den nachfolgenden Grundbucheintrag erhält der Erwe</w:t>
      </w:r>
      <w:r>
        <w:t>r</w:t>
      </w:r>
      <w:r>
        <w:t>ber die Möglichkeit, über das Grundstück zu verfügen.</w:t>
      </w:r>
    </w:p>
    <w:p w:rsidR="00AD4A87" w:rsidRDefault="00AD4A87" w:rsidP="00AD4A87">
      <w:pPr>
        <w:pStyle w:val="Text"/>
      </w:pPr>
    </w:p>
    <w:p w:rsidR="006E57E3" w:rsidRDefault="006E57E3" w:rsidP="00AD4A87">
      <w:pPr>
        <w:pStyle w:val="TextDoppelpunkt"/>
      </w:pPr>
      <w:r>
        <w:t>Der ausserbuchliche Erwerb gilt zum Beispiel bei:</w:t>
      </w:r>
    </w:p>
    <w:p w:rsidR="006E57E3" w:rsidRPr="00AD4A87" w:rsidRDefault="006E57E3" w:rsidP="00AD4A87">
      <w:pPr>
        <w:pStyle w:val="AufzhlungszeichenText"/>
      </w:pPr>
      <w:r w:rsidRPr="00AD4A87">
        <w:t>Ehevertrag</w:t>
      </w:r>
    </w:p>
    <w:p w:rsidR="006E57E3" w:rsidRPr="00AD4A87" w:rsidRDefault="006E57E3" w:rsidP="00AD4A87">
      <w:pPr>
        <w:pStyle w:val="AufzhlungszeichenText"/>
      </w:pPr>
      <w:r w:rsidRPr="00AD4A87">
        <w:t>Erbgang</w:t>
      </w:r>
    </w:p>
    <w:p w:rsidR="006E57E3" w:rsidRPr="00AD4A87" w:rsidRDefault="006E57E3" w:rsidP="00AD4A87">
      <w:pPr>
        <w:pStyle w:val="AufzhlungszeichenText"/>
      </w:pPr>
      <w:r w:rsidRPr="00AD4A87">
        <w:t>Enteignung</w:t>
      </w:r>
    </w:p>
    <w:p w:rsidR="006E57E3" w:rsidRPr="00AD4A87" w:rsidRDefault="006E57E3" w:rsidP="00AD4A87">
      <w:pPr>
        <w:pStyle w:val="AufzhlungszeichenText"/>
      </w:pPr>
      <w:r w:rsidRPr="00AD4A87">
        <w:t>Zwangsvollstreckung</w:t>
      </w:r>
    </w:p>
    <w:p w:rsidR="006E57E3" w:rsidRDefault="006E57E3" w:rsidP="00AD4A87">
      <w:pPr>
        <w:pStyle w:val="AufzhlungszeichenText"/>
      </w:pPr>
      <w:r w:rsidRPr="00AD4A87">
        <w:t>Gerichtliches Urteil</w:t>
      </w:r>
    </w:p>
    <w:p w:rsidR="00AD4A87" w:rsidRPr="00AD4A87" w:rsidRDefault="00AD4A87" w:rsidP="00AD4A87">
      <w:pPr>
        <w:pStyle w:val="Text"/>
      </w:pPr>
    </w:p>
    <w:p w:rsidR="006E57E3" w:rsidRDefault="006E57E3" w:rsidP="00AD4A87">
      <w:pPr>
        <w:pStyle w:val="Text"/>
      </w:pPr>
      <w:r>
        <w:t>Grundeigentumserwerb durch buchlichen Erwerb, Vorverträge sowie Verträge, die ein Vo</w:t>
      </w:r>
      <w:r>
        <w:t>r</w:t>
      </w:r>
      <w:r>
        <w:t>kaufs-, Kaufs- oder Rückkaufsrecht an einem Grundstück begründen, bedürfen der öffentlichen Beurkund</w:t>
      </w:r>
      <w:r w:rsidR="00E466C2">
        <w:t>ung</w:t>
      </w:r>
      <w:r>
        <w:t>.</w:t>
      </w:r>
    </w:p>
    <w:p w:rsidR="002F4AF8" w:rsidRDefault="002F4AF8" w:rsidP="00AD4A87">
      <w:pPr>
        <w:pStyle w:val="Text"/>
      </w:pPr>
    </w:p>
    <w:p w:rsidR="006E57E3" w:rsidRDefault="006E57E3" w:rsidP="006E57E3">
      <w:pPr>
        <w:pStyle w:val="berschrift2"/>
      </w:pPr>
      <w:bookmarkStart w:id="26" w:name="_Toc404511902"/>
      <w:bookmarkStart w:id="27" w:name="_Toc409600249"/>
      <w:r>
        <w:t>Das Fahrniseigentum</w:t>
      </w:r>
      <w:bookmarkEnd w:id="26"/>
      <w:bookmarkEnd w:id="27"/>
    </w:p>
    <w:p w:rsidR="006E57E3" w:rsidRPr="00AD4A87" w:rsidRDefault="006E57E3" w:rsidP="00AD4A87">
      <w:pPr>
        <w:pStyle w:val="Text"/>
      </w:pPr>
      <w:r w:rsidRPr="00AD4A87">
        <w:t xml:space="preserve">Fahrniseigentum ist das Eigentum an Sachen, die ihrer Natur nach beweglich sind (keine </w:t>
      </w:r>
      <w:r w:rsidR="002F4AF8" w:rsidRPr="00AD4A87">
        <w:t>feste</w:t>
      </w:r>
      <w:r w:rsidRPr="00AD4A87">
        <w:t xml:space="preserve"> Verbindung mit dem Boden) und nicht zu den Grundstücken gehören.</w:t>
      </w:r>
    </w:p>
    <w:p w:rsidR="00D05444" w:rsidRPr="00AD4A87" w:rsidRDefault="00D05444" w:rsidP="00AD4A87">
      <w:pPr>
        <w:pStyle w:val="Text"/>
      </w:pPr>
    </w:p>
    <w:p w:rsidR="00D05444" w:rsidRDefault="00D05444" w:rsidP="00D05444">
      <w:pPr>
        <w:pStyle w:val="berschrift3"/>
      </w:pPr>
      <w:bookmarkStart w:id="28" w:name="_Toc404511903"/>
      <w:bookmarkStart w:id="29" w:name="_Toc409600250"/>
      <w:r>
        <w:t>Erwerb von Fahrniseigentum</w:t>
      </w:r>
      <w:bookmarkEnd w:id="28"/>
      <w:bookmarkEnd w:id="29"/>
    </w:p>
    <w:p w:rsidR="00627E6B" w:rsidRDefault="00D05444" w:rsidP="00AD4A87">
      <w:pPr>
        <w:pStyle w:val="TextDoppelpunkt"/>
      </w:pPr>
      <w:r>
        <w:t xml:space="preserve">Das Fahrniseigentum </w:t>
      </w:r>
      <w:r w:rsidR="00627E6B">
        <w:t>an der Sache kann wie folgt erworben werden:</w:t>
      </w:r>
    </w:p>
    <w:p w:rsidR="00627E6B" w:rsidRPr="00AD4A87" w:rsidRDefault="00627E6B" w:rsidP="00AD4A87">
      <w:pPr>
        <w:pStyle w:val="AufzhlungszeichenText"/>
      </w:pPr>
      <w:r w:rsidRPr="00AD4A87">
        <w:t xml:space="preserve">Übertragung </w:t>
      </w:r>
    </w:p>
    <w:p w:rsidR="00627E6B" w:rsidRPr="00AD4A87" w:rsidRDefault="00627E6B" w:rsidP="00AD4A87">
      <w:pPr>
        <w:pStyle w:val="AufzhlungszeichenText"/>
      </w:pPr>
      <w:r w:rsidRPr="00AD4A87">
        <w:t>Aneignung</w:t>
      </w:r>
    </w:p>
    <w:p w:rsidR="00627E6B" w:rsidRPr="00AD4A87" w:rsidRDefault="00627E6B" w:rsidP="00AD4A87">
      <w:pPr>
        <w:pStyle w:val="AufzhlungszeichenText"/>
      </w:pPr>
      <w:r w:rsidRPr="00AD4A87">
        <w:t>Fund</w:t>
      </w:r>
    </w:p>
    <w:p w:rsidR="00627E6B" w:rsidRPr="00AD4A87" w:rsidRDefault="00627E6B" w:rsidP="00AD4A87">
      <w:pPr>
        <w:pStyle w:val="AufzhlungszeichenText"/>
      </w:pPr>
      <w:r w:rsidRPr="00AD4A87">
        <w:t xml:space="preserve">Ersitzung </w:t>
      </w:r>
      <w:r w:rsidR="001B25AD" w:rsidRPr="00AD4A87">
        <w:t xml:space="preserve">(hat jemand eine fremde bewegliche Sache ununterbrochen und unangefochten während 5 Jahren – bei Tieren </w:t>
      </w:r>
      <w:r w:rsidR="00C26FC0" w:rsidRPr="00AD4A87">
        <w:t xml:space="preserve">im häuslichen Bereich während </w:t>
      </w:r>
      <w:r w:rsidR="001B25AD" w:rsidRPr="00AD4A87">
        <w:t>2 Monate</w:t>
      </w:r>
      <w:r w:rsidRPr="00AD4A87">
        <w:t>n</w:t>
      </w:r>
      <w:r w:rsidR="001B25AD" w:rsidRPr="00AD4A87">
        <w:t xml:space="preserve"> – in gutem Gla</w:t>
      </w:r>
      <w:r w:rsidR="001B25AD" w:rsidRPr="00AD4A87">
        <w:t>u</w:t>
      </w:r>
      <w:r w:rsidR="001B25AD" w:rsidRPr="00AD4A87">
        <w:t>be</w:t>
      </w:r>
      <w:r w:rsidRPr="00AD4A87">
        <w:t>n als Eigentum in seinem Besitz, so wird er durch Ersitzung Eigentümer</w:t>
      </w:r>
      <w:r w:rsidR="001B25AD" w:rsidRPr="00AD4A87">
        <w:t>)</w:t>
      </w:r>
    </w:p>
    <w:p w:rsidR="00627E6B" w:rsidRPr="00AD4A87" w:rsidRDefault="00627E6B" w:rsidP="00AD4A87">
      <w:pPr>
        <w:pStyle w:val="Text"/>
      </w:pPr>
    </w:p>
    <w:p w:rsidR="00D05444" w:rsidRPr="00AD4A87" w:rsidRDefault="00D05444" w:rsidP="00AD4A87">
      <w:pPr>
        <w:pStyle w:val="Text"/>
      </w:pPr>
      <w:r w:rsidRPr="00AD4A87">
        <w:t>Voraussetzung ist der Übergang des Besitzes an der Sache auf den Fahrniseigentümer. Die Übertragung des Besitzes bedarf keiner besonderen Form.</w:t>
      </w:r>
    </w:p>
    <w:p w:rsidR="00D05444" w:rsidRPr="00AD4A87" w:rsidRDefault="00D05444" w:rsidP="00AD4A87">
      <w:pPr>
        <w:pStyle w:val="Text"/>
      </w:pPr>
    </w:p>
    <w:p w:rsidR="00D05444" w:rsidRDefault="00D05444" w:rsidP="00D05444">
      <w:pPr>
        <w:pStyle w:val="berschrift2"/>
      </w:pPr>
      <w:bookmarkStart w:id="30" w:name="_Toc404511904"/>
      <w:bookmarkStart w:id="31" w:name="_Toc409600251"/>
      <w:r>
        <w:lastRenderedPageBreak/>
        <w:t>Beschränkung des Grundeigentums</w:t>
      </w:r>
      <w:bookmarkEnd w:id="30"/>
      <w:bookmarkEnd w:id="31"/>
    </w:p>
    <w:p w:rsidR="00D05444" w:rsidRPr="00AD4A87" w:rsidRDefault="00D05444" w:rsidP="00AD4A87">
      <w:pPr>
        <w:pStyle w:val="Text"/>
      </w:pPr>
      <w:r w:rsidRPr="00AD4A87">
        <w:t>Wir unterscheiden zwischen öffentlich-rechtlichen und privatrechtlichen Eigentumsbeschrä</w:t>
      </w:r>
      <w:r w:rsidRPr="00AD4A87">
        <w:t>n</w:t>
      </w:r>
      <w:r w:rsidRPr="00AD4A87">
        <w:t>kungen.</w:t>
      </w:r>
    </w:p>
    <w:p w:rsidR="00D05444" w:rsidRDefault="00D05444" w:rsidP="00D05444">
      <w:pPr>
        <w:pStyle w:val="Text"/>
      </w:pPr>
    </w:p>
    <w:p w:rsidR="00D05444" w:rsidRDefault="00D05444" w:rsidP="00D05444">
      <w:pPr>
        <w:pStyle w:val="Text"/>
        <w:rPr>
          <w:b/>
          <w:bCs/>
        </w:rPr>
      </w:pPr>
      <w:r>
        <w:rPr>
          <w:b/>
          <w:bCs/>
        </w:rPr>
        <w:t>Öffentlich-rechtliche Eigentumsbeschränkungen</w:t>
      </w:r>
    </w:p>
    <w:p w:rsidR="00D05444" w:rsidRPr="00AD4A87" w:rsidRDefault="00D05444" w:rsidP="00AD4A87">
      <w:pPr>
        <w:pStyle w:val="Text"/>
      </w:pPr>
      <w:r w:rsidRPr="00AD4A87">
        <w:t>Darunter sind Schranken zu verstehen, die zum Wohle der Allgemeinheit vo</w:t>
      </w:r>
      <w:r w:rsidR="004D78CE" w:rsidRPr="00AD4A87">
        <w:t>n</w:t>
      </w:r>
      <w:r w:rsidRPr="00AD4A87">
        <w:t xml:space="preserve"> Bund, Kantonen und Gemeinden in Gesetzen aufgestellt werden. Sie bringen vor allem eine Beschränkung der Benutzungsbefugnis des Grundeigentums. Darunter fallen bau-, feuer- und gesundheitspolize</w:t>
      </w:r>
      <w:r w:rsidRPr="00AD4A87">
        <w:t>i</w:t>
      </w:r>
      <w:r w:rsidRPr="00AD4A87">
        <w:t>liche Vorschriften, Forst- und Strassenwesen, Bodenverbesserung, Zerstückelung von Gütern, Naturschutz usw. Abänderungen sind nur mit Zustimmung der Be</w:t>
      </w:r>
      <w:r w:rsidR="002F4AF8" w:rsidRPr="00AD4A87">
        <w:t>w</w:t>
      </w:r>
      <w:r w:rsidRPr="00AD4A87">
        <w:t>illigungsbehörden möglich, wenn es das Gesetz zulässt. Die öffentlich-rechtlichen Eigentumsbeschränkungen bestehen ohne Eintrag im Grundbuch.</w:t>
      </w:r>
    </w:p>
    <w:p w:rsidR="00244D49" w:rsidRPr="00AD4A87" w:rsidRDefault="00244D49" w:rsidP="00AD4A87">
      <w:pPr>
        <w:pStyle w:val="Text"/>
      </w:pPr>
    </w:p>
    <w:p w:rsidR="00D05444" w:rsidRDefault="00D05444" w:rsidP="00D05444">
      <w:pPr>
        <w:pStyle w:val="Text"/>
        <w:rPr>
          <w:b/>
          <w:bCs/>
        </w:rPr>
      </w:pPr>
      <w:r>
        <w:rPr>
          <w:b/>
          <w:bCs/>
        </w:rPr>
        <w:t>Privatrechtliche Eigentumsbeschränkungen</w:t>
      </w:r>
    </w:p>
    <w:p w:rsidR="00D05444" w:rsidRDefault="00D05444" w:rsidP="00AD4A87">
      <w:pPr>
        <w:pStyle w:val="TextDoppelpunkt"/>
      </w:pPr>
      <w:r>
        <w:t>Darunter sind Schranken zu verstehen, die zum nachbarrechtlichen Schutz des Grundeige</w:t>
      </w:r>
      <w:r>
        <w:t>n</w:t>
      </w:r>
      <w:r>
        <w:t xml:space="preserve">tums, zur Erhaltung des bäuerlichen Grundbesitzes, zum Schutz einer berechtigten </w:t>
      </w:r>
      <w:r w:rsidR="002F4AF8">
        <w:t>Person</w:t>
      </w:r>
      <w:r>
        <w:t xml:space="preserve"> von Gesetzes wegen im Zivilrecht bestehen oder vertraglich vereinbart werden können. Die priva</w:t>
      </w:r>
      <w:r>
        <w:t>t</w:t>
      </w:r>
      <w:r>
        <w:t>rechtlichen Eigentumsbeschränkungen können sich auswirken auf:</w:t>
      </w:r>
    </w:p>
    <w:p w:rsidR="00D04D2D" w:rsidRDefault="00D05444" w:rsidP="00DC30B0">
      <w:pPr>
        <w:pStyle w:val="Aufzhlungszeichen3"/>
      </w:pPr>
      <w:r w:rsidRPr="00DC30B0">
        <w:t>Verfügungsbefugnis</w:t>
      </w:r>
      <w:r w:rsidR="00DC30B0">
        <w:br/>
      </w:r>
      <w:r w:rsidR="00D04D2D">
        <w:t>Durch vertragliches Vor- und Rückkaufsrecht, Kaufsrecht, Pacht, Miete. Diese persönlichen Rechte</w:t>
      </w:r>
      <w:r w:rsidR="004D78CE">
        <w:t xml:space="preserve"> werden im Grundbuch vorgemerkt </w:t>
      </w:r>
      <w:r w:rsidR="00586DB1">
        <w:t>(Vor- und Rückkaufsrecht auf maximal 25</w:t>
      </w:r>
      <w:r w:rsidR="0014715E">
        <w:t> </w:t>
      </w:r>
      <w:r w:rsidR="00586DB1">
        <w:t xml:space="preserve">Jahre, </w:t>
      </w:r>
      <w:r w:rsidR="00D04D2D">
        <w:t>Kaufsrecht auf maximal 10</w:t>
      </w:r>
      <w:r w:rsidR="0014715E">
        <w:t> </w:t>
      </w:r>
      <w:r w:rsidR="00D04D2D">
        <w:t>Jahre) und erhalten da</w:t>
      </w:r>
      <w:r w:rsidR="004D78CE">
        <w:t>durch Dritten gegenüber Wirkung.</w:t>
      </w:r>
      <w:r w:rsidR="00DC30B0">
        <w:br/>
      </w:r>
      <w:r w:rsidR="00D04D2D">
        <w:t>Durch gesetzliche Bestimmungen z.B. gesetzliches Vorkaufsrecht des Miteigentümers, bä</w:t>
      </w:r>
      <w:r w:rsidR="00D04D2D">
        <w:t>u</w:t>
      </w:r>
      <w:r w:rsidR="00D04D2D">
        <w:t>erliches Vorkaufsrecht (vorkaufsberechtigt sind die Nachkommen sowie unter gewissen V</w:t>
      </w:r>
      <w:r w:rsidR="00D04D2D">
        <w:t>o</w:t>
      </w:r>
      <w:r w:rsidR="00D04D2D">
        <w:t>raussetzungen die Geschwister, Geschwisterkinder und der Pächter)</w:t>
      </w:r>
      <w:r w:rsidR="004D78CE">
        <w:t>,</w:t>
      </w:r>
      <w:r w:rsidR="00D04D2D">
        <w:t xml:space="preserve"> hypothekarische B</w:t>
      </w:r>
      <w:r w:rsidR="00D04D2D">
        <w:t>e</w:t>
      </w:r>
      <w:r w:rsidR="00D04D2D">
        <w:t>lastungsgrenze bei landwirtschaftlichen Grundstücken.</w:t>
      </w:r>
    </w:p>
    <w:p w:rsidR="00177633" w:rsidRDefault="00177633" w:rsidP="00DC30B0">
      <w:pPr>
        <w:pStyle w:val="Text"/>
      </w:pPr>
    </w:p>
    <w:p w:rsidR="00177633" w:rsidRDefault="00177633" w:rsidP="00DC30B0">
      <w:pPr>
        <w:pStyle w:val="Aufzhlungszeichen3"/>
      </w:pPr>
      <w:r w:rsidRPr="00DC30B0">
        <w:t>Benutzungsbefugnis</w:t>
      </w:r>
      <w:r w:rsidR="00DC30B0">
        <w:br/>
      </w:r>
      <w:r>
        <w:t>Neben den öffentlich-rechtlichen Beschränkungen bestehen auch gesetzliche Vorschriften im Zivilrecht, die die Benutzungsbefugnis einschränken, wie zum Beispiel Art der Nutzung des Grundeigentums, Abwehr von Gefahr und Schaden usw. Diese Eigentumsbeschrä</w:t>
      </w:r>
      <w:r>
        <w:t>n</w:t>
      </w:r>
      <w:r>
        <w:t>kungen bestehen ohne Grundbucheintrag. Darüber hinaus können sich Grundeigentümer aber auch vertragliche Beschränkungen für die Benutzungsbefugnis durch Dienstbarkeiten auferlegen wie zum Beispiel Gewerbeverbot, Bauverbot. Diese Dienstbarkeiten müssen im Grundbuch eingetragen werden.</w:t>
      </w:r>
    </w:p>
    <w:p w:rsidR="00177633" w:rsidRDefault="00177633" w:rsidP="00DC30B0">
      <w:pPr>
        <w:pStyle w:val="Text"/>
      </w:pPr>
    </w:p>
    <w:p w:rsidR="00177633" w:rsidRDefault="00177633" w:rsidP="00DC30B0">
      <w:pPr>
        <w:pStyle w:val="Aufzhlungszeichen3"/>
      </w:pPr>
      <w:r w:rsidRPr="00DC30B0">
        <w:t>Nachbarrecht</w:t>
      </w:r>
      <w:r w:rsidR="00DC30B0">
        <w:br/>
      </w:r>
      <w:r>
        <w:t>Auch hier bestehen gesetzliche Bestimmungen im Zivilrecht, die sich aus der örtlichen B</w:t>
      </w:r>
      <w:r>
        <w:t>e</w:t>
      </w:r>
      <w:r>
        <w:t>ziehung von zwei oder mehr Grundstücken ergeben wie zum Beispiel übermässige Einwi</w:t>
      </w:r>
      <w:r>
        <w:t>r</w:t>
      </w:r>
      <w:r>
        <w:t>kung, Grabungen, Wasserablauf, Durchleitungen, Pflanzungen, Einfriedigungen, Notwe</w:t>
      </w:r>
      <w:r>
        <w:t>g</w:t>
      </w:r>
      <w:r>
        <w:t>rechte usw.</w:t>
      </w:r>
      <w:r w:rsidR="00A54D75">
        <w:tab/>
      </w:r>
      <w:r w:rsidR="00DC30B0">
        <w:br/>
      </w:r>
      <w:r>
        <w:t>Es können aber auch vertragliche nachbarrechtliche Beschränkungen unter Grundeigent</w:t>
      </w:r>
      <w:r>
        <w:t>ü</w:t>
      </w:r>
      <w:r>
        <w:t>mern in Form von Dienstbarkei</w:t>
      </w:r>
      <w:r w:rsidR="002F4AF8">
        <w:t>t</w:t>
      </w:r>
      <w:r>
        <w:t>en vereinbart werden, die jedoch der Eintragung im Grun</w:t>
      </w:r>
      <w:r>
        <w:t>d</w:t>
      </w:r>
      <w:r>
        <w:t>buch bedürfen. Solche Vereinbarungen dürfen aber nicht im Widerspruch zu öffentlich-rechtlichen Eigentumsbeschränkungen stehen.</w:t>
      </w:r>
    </w:p>
    <w:p w:rsidR="00177633" w:rsidRDefault="00177633" w:rsidP="00177633">
      <w:pPr>
        <w:pStyle w:val="berschrift1"/>
      </w:pPr>
      <w:bookmarkStart w:id="32" w:name="_Toc404511905"/>
      <w:bookmarkStart w:id="33" w:name="_Toc409600252"/>
      <w:r>
        <w:lastRenderedPageBreak/>
        <w:t>Beschränkt dingliche Rechte</w:t>
      </w:r>
      <w:bookmarkEnd w:id="32"/>
      <w:bookmarkEnd w:id="33"/>
    </w:p>
    <w:p w:rsidR="00177633" w:rsidRDefault="00EA43E6" w:rsidP="00177633">
      <w:pPr>
        <w:pStyle w:val="Text"/>
      </w:pPr>
      <w:r>
        <w:t>Den Gegensatz zum Eigentum als umfassende Sachherrschaft bilden die beschränkten dingl</w:t>
      </w:r>
      <w:r>
        <w:t>i</w:t>
      </w:r>
      <w:r>
        <w:t>chen Rechte, die nur eine beschränkte Machtbefugnis über die damit belasteten Sachen g</w:t>
      </w:r>
      <w:r>
        <w:t>e</w:t>
      </w:r>
      <w:r>
        <w:t>währen. Die Rechtsansprüche gliedern sich auf in drei Kategorien, nämlich die Dienstbarkeiten (auch Servitute genannt), die Grundlasten und die Pfandrechte (Grundpfand und Fahrnispfand).</w:t>
      </w:r>
    </w:p>
    <w:p w:rsidR="00EA43E6" w:rsidRDefault="00EA43E6" w:rsidP="00177633">
      <w:pPr>
        <w:pStyle w:val="Text"/>
      </w:pPr>
    </w:p>
    <w:p w:rsidR="00EA43E6" w:rsidRDefault="00EA43E6" w:rsidP="00EA43E6">
      <w:pPr>
        <w:pStyle w:val="berschrift2"/>
      </w:pPr>
      <w:bookmarkStart w:id="34" w:name="_Toc404511906"/>
      <w:bookmarkStart w:id="35" w:name="_Toc409600253"/>
      <w:r>
        <w:t>Grunddienstbarkeiten</w:t>
      </w:r>
      <w:bookmarkEnd w:id="34"/>
      <w:bookmarkEnd w:id="35"/>
    </w:p>
    <w:p w:rsidR="00EA43E6" w:rsidRPr="00AD4A87" w:rsidRDefault="00EA43E6" w:rsidP="00AD4A87">
      <w:pPr>
        <w:pStyle w:val="Text"/>
      </w:pPr>
      <w:r w:rsidRPr="00AD4A87">
        <w:t xml:space="preserve">Die Grunddienstbarkeit ist ein Rechtsverhältnis zwischen den jeweiligen Eigentümern zweier Grundstücke, das den Eigentümer des dienenden (belasteten) Grundstückes verpflichtet, sich bestimmte Eingriffe des Eigentümers des herrschenden (berechtigten) Grundstückes gefallen zu lassen (z.B. Wegrecht) oder sein Eigentumsrecht nach gewissen Richtungen zu Gunsten des Eigentümers des berechtigten Grundstücks nicht auszuüben (z.B. Bauverbot). Die </w:t>
      </w:r>
      <w:r w:rsidR="0035566F" w:rsidRPr="00AD4A87">
        <w:t>V</w:t>
      </w:r>
      <w:r w:rsidRPr="00AD4A87">
        <w:t>e</w:t>
      </w:r>
      <w:r w:rsidRPr="00AD4A87">
        <w:t>r</w:t>
      </w:r>
      <w:r w:rsidRPr="00AD4A87">
        <w:t>pflichtung beinhaltet also ein Dulden oder Unterlassen.</w:t>
      </w:r>
    </w:p>
    <w:p w:rsidR="00EA43E6" w:rsidRPr="00AD4A87" w:rsidRDefault="00EA43E6" w:rsidP="00AD4A87">
      <w:pPr>
        <w:pStyle w:val="Text"/>
      </w:pPr>
    </w:p>
    <w:p w:rsidR="00EA43E6" w:rsidRDefault="0035566F" w:rsidP="00EA43E6">
      <w:pPr>
        <w:pStyle w:val="berschrift2"/>
      </w:pPr>
      <w:bookmarkStart w:id="36" w:name="_Toc404511907"/>
      <w:bookmarkStart w:id="37" w:name="_Toc409600254"/>
      <w:r>
        <w:t>Persönliche Dienstbarkeiten</w:t>
      </w:r>
      <w:bookmarkEnd w:id="36"/>
      <w:bookmarkEnd w:id="37"/>
    </w:p>
    <w:p w:rsidR="0035566F" w:rsidRDefault="0035566F" w:rsidP="00AD4A87">
      <w:pPr>
        <w:pStyle w:val="Text"/>
      </w:pPr>
      <w:r>
        <w:t>Zu dieser Untergruppe der Dienstbarkeiten gehören die Nutzniessung und das Wohnrecht s</w:t>
      </w:r>
      <w:r>
        <w:t>o</w:t>
      </w:r>
      <w:r>
        <w:t>wie andere Dienstbarkeiten zu Gunsten von bestimmten Personen (Baurecht, Quellenrecht usw.)</w:t>
      </w:r>
      <w:r w:rsidR="0014715E">
        <w:t>.</w:t>
      </w:r>
    </w:p>
    <w:p w:rsidR="0035566F" w:rsidRDefault="0035566F" w:rsidP="00AD4A87">
      <w:pPr>
        <w:pStyle w:val="Text"/>
      </w:pPr>
    </w:p>
    <w:p w:rsidR="0035566F" w:rsidRDefault="0035566F" w:rsidP="0035566F">
      <w:pPr>
        <w:pStyle w:val="berschrift3"/>
      </w:pPr>
      <w:bookmarkStart w:id="38" w:name="_Toc404511908"/>
      <w:bookmarkStart w:id="39" w:name="_Toc409600255"/>
      <w:r>
        <w:t>Merkmale der persönlichen Dienstbarkeiten</w:t>
      </w:r>
      <w:bookmarkEnd w:id="38"/>
      <w:bookmarkEnd w:id="39"/>
    </w:p>
    <w:p w:rsidR="00A74D09" w:rsidRPr="00A74D09" w:rsidRDefault="00A74D09" w:rsidP="00A74D09">
      <w:pPr>
        <w:pStyle w:val="Text"/>
        <w:rPr>
          <w:b/>
          <w:bCs/>
        </w:rPr>
      </w:pPr>
      <w:r w:rsidRPr="00A74D09">
        <w:rPr>
          <w:b/>
          <w:bCs/>
        </w:rPr>
        <w:t>Nutzniessung und Wohnrecht</w:t>
      </w:r>
    </w:p>
    <w:p w:rsidR="00A74D09" w:rsidRDefault="0035566F" w:rsidP="00AD4A87">
      <w:pPr>
        <w:pStyle w:val="Text"/>
      </w:pPr>
      <w:r>
        <w:t>Die Nutzniessung und das Wohnrecht sind streng persönliche Dienstbarkeiten. Sie sind unb</w:t>
      </w:r>
      <w:r>
        <w:t>e</w:t>
      </w:r>
      <w:r>
        <w:t xml:space="preserve">dingt mit einem individuell bestimmten Rechtsträger verbunden, mit dem sie stehen und fallen. Nutzniessung und Wohnrecht erlöschen mit dem Tod des Berechtigten oder dem Untergang der Sache. </w:t>
      </w:r>
    </w:p>
    <w:p w:rsidR="0035566F" w:rsidRDefault="0035566F" w:rsidP="00AD4A87">
      <w:pPr>
        <w:pStyle w:val="Text"/>
      </w:pPr>
      <w:r>
        <w:t>Die Nutzniessung ist das umfassende Nutzungsrecht an einer Sache. Sie gewährt dem Berec</w:t>
      </w:r>
      <w:r>
        <w:t>h</w:t>
      </w:r>
      <w:r>
        <w:t>tigten grundsätzlich den vollen Genuss am Nutzniessungsobjekt (bewegliche und unbewegliche Sachen). Der Nutzniesser hat das Recht auf Nutzung und Verwaltung der Sache. Als Recht</w:t>
      </w:r>
      <w:r>
        <w:t>s</w:t>
      </w:r>
      <w:r>
        <w:t>grund kommen in Betracht: Vertrag, Vermächtnis und gesetzliche Bestimmungen. Der Vertrag muss öffentlich beurkundet werden, sofern er Grundstücke zum Gegenstand hat. Der Begrü</w:t>
      </w:r>
      <w:r>
        <w:t>n</w:t>
      </w:r>
      <w:r>
        <w:t>dung</w:t>
      </w:r>
      <w:r w:rsidR="00E50E7F">
        <w:t>s</w:t>
      </w:r>
      <w:r>
        <w:t>akt für Fahrnis ist die Besitzübergabe, für Grundstücke die Eintragung im Grundbuch.</w:t>
      </w:r>
    </w:p>
    <w:p w:rsidR="0035566F" w:rsidRDefault="0035566F" w:rsidP="00AD4A87">
      <w:pPr>
        <w:pStyle w:val="Text"/>
      </w:pPr>
    </w:p>
    <w:p w:rsidR="0035566F" w:rsidRDefault="0035566F" w:rsidP="00AD4A87">
      <w:pPr>
        <w:pStyle w:val="Text"/>
      </w:pPr>
      <w:r>
        <w:t>Das Wohnrecht gibt das Gebrauchs- und Benützungsrecht entweder als ausschliessliches Wohnrecht oder nur neben dem Eigentümer als Mitbenützung. Als Rechtsgrund kommt der Vertrag oder das Vermächtnis in Betracht, wobei der Vertrag öffentlich beurkundet werden muss. Der Begründung</w:t>
      </w:r>
      <w:r w:rsidR="00E50E7F">
        <w:t>s</w:t>
      </w:r>
      <w:r>
        <w:t>akt ist in beiden Fällen die Eintragung im Grundbuch, weil das Woh</w:t>
      </w:r>
      <w:r>
        <w:t>n</w:t>
      </w:r>
      <w:r>
        <w:t>recht nur an Wohnhäusern oder Teilen davon begründet werden kann und diese immer B</w:t>
      </w:r>
      <w:r>
        <w:t>e</w:t>
      </w:r>
      <w:r>
        <w:t>standteil von Grundstücken sind</w:t>
      </w:r>
      <w:r w:rsidR="00A74D09">
        <w:t>.</w:t>
      </w:r>
    </w:p>
    <w:p w:rsidR="00A74D09" w:rsidRDefault="00A74D09" w:rsidP="00AD4A87">
      <w:pPr>
        <w:pStyle w:val="Text"/>
      </w:pPr>
    </w:p>
    <w:p w:rsidR="00A74D09" w:rsidRPr="00A74D09" w:rsidRDefault="00A74D09" w:rsidP="00A74D09">
      <w:pPr>
        <w:pStyle w:val="Text"/>
        <w:rPr>
          <w:b/>
          <w:bCs/>
        </w:rPr>
      </w:pPr>
      <w:r w:rsidRPr="00A74D09">
        <w:rPr>
          <w:b/>
          <w:bCs/>
        </w:rPr>
        <w:t>Baurecht</w:t>
      </w:r>
    </w:p>
    <w:p w:rsidR="00A74D09" w:rsidRDefault="00A74D09" w:rsidP="00AD4A87">
      <w:pPr>
        <w:pStyle w:val="Text"/>
      </w:pPr>
      <w:r>
        <w:t>Durch Begründung eines Baurechtes kann auf fremde</w:t>
      </w:r>
      <w:r w:rsidR="00E50E7F">
        <w:t>m</w:t>
      </w:r>
      <w:r>
        <w:t xml:space="preserve"> Boden, auf oder unter der Bodenfl</w:t>
      </w:r>
      <w:r>
        <w:t>ä</w:t>
      </w:r>
      <w:r>
        <w:t>che, ein Bauwerk errichtet oder beibehalten werden. Ein solches Bauwerk behält seinen b</w:t>
      </w:r>
      <w:r>
        <w:t>e</w:t>
      </w:r>
      <w:r>
        <w:t>sonderen Eigentümer. Das Baurecht kann mit öffentlicher Beurkundung als selbständiges Recht auf höchstens 100 Jahre begründet werden. Eine anschliessende Verlängerung auf eine gleiche Höchstdauer ist möglich. Geht das Baurecht unter, so fallen die bestehenden Bauwerke gegen Entschädigung dem Grundeigentümer heim und werden zu Bestandteilen des belasteten Grundstückes. Für die Gewährung eines Baurechtes wird in der Regel ein sogenannter Ba</w:t>
      </w:r>
      <w:r>
        <w:t>u</w:t>
      </w:r>
      <w:r>
        <w:t>rechtszins verlangt, welcher sich meistens nach dem Verkehrswert des Grundstückes richtet. Der Baurechtsgeber (Grundeigentümer des mit dem Baurecht belasteten Grundstückes)</w:t>
      </w:r>
      <w:r w:rsidR="00A54D75">
        <w:t xml:space="preserve"> </w:t>
      </w:r>
      <w:r>
        <w:t>als auch der Baurechtsnehmer (Eigentümer des Baurechtes) haben gegenseitig je ein gesetzliches Vorkaufsrecht.</w:t>
      </w:r>
    </w:p>
    <w:p w:rsidR="00A74D09" w:rsidRDefault="00A74D09" w:rsidP="00AD4A87">
      <w:pPr>
        <w:pStyle w:val="Text"/>
      </w:pPr>
    </w:p>
    <w:p w:rsidR="00AD4A87" w:rsidRPr="000478E5" w:rsidRDefault="00AD4A87" w:rsidP="000478E5">
      <w:r w:rsidRPr="000478E5">
        <w:br w:type="page"/>
      </w:r>
    </w:p>
    <w:p w:rsidR="00A74D09" w:rsidRDefault="00A74D09" w:rsidP="00A74D09">
      <w:pPr>
        <w:pStyle w:val="Text"/>
        <w:rPr>
          <w:b/>
          <w:bCs/>
        </w:rPr>
      </w:pPr>
      <w:r>
        <w:rPr>
          <w:b/>
          <w:bCs/>
        </w:rPr>
        <w:lastRenderedPageBreak/>
        <w:t>Quellenrecht</w:t>
      </w:r>
    </w:p>
    <w:p w:rsidR="00A74D09" w:rsidRDefault="00A74D09" w:rsidP="00AD4A87">
      <w:pPr>
        <w:pStyle w:val="Text"/>
      </w:pPr>
      <w:r>
        <w:t>Dem Berechtigten eines Quellenrechtes wird das Recht eingeräumt, sich das Wasser der Que</w:t>
      </w:r>
      <w:r>
        <w:t>l</w:t>
      </w:r>
      <w:r>
        <w:t>le auf dem belasteten Grundstück anzueignen und dieses abzuleiten. Auch das Quellenrecht kann selbständig und dauernd begründet werden.</w:t>
      </w:r>
    </w:p>
    <w:p w:rsidR="00A74D09" w:rsidRDefault="00A74D09" w:rsidP="00AD4A87">
      <w:pPr>
        <w:pStyle w:val="Text"/>
      </w:pPr>
    </w:p>
    <w:p w:rsidR="00A74D09" w:rsidRDefault="00A74D09" w:rsidP="00A74D09">
      <w:pPr>
        <w:pStyle w:val="berschrift3"/>
      </w:pPr>
      <w:bookmarkStart w:id="40" w:name="_Toc404511909"/>
      <w:bookmarkStart w:id="41" w:name="_Toc409600256"/>
      <w:r>
        <w:t>Entstehung einer Dienstbar</w:t>
      </w:r>
      <w:r w:rsidR="003F7CB2">
        <w:t>keit</w:t>
      </w:r>
      <w:bookmarkEnd w:id="40"/>
      <w:bookmarkEnd w:id="41"/>
    </w:p>
    <w:p w:rsidR="003F7CB2" w:rsidRPr="00AD4A87" w:rsidRDefault="003F7CB2" w:rsidP="00AD4A87">
      <w:pPr>
        <w:pStyle w:val="Text"/>
      </w:pPr>
      <w:r w:rsidRPr="00AD4A87">
        <w:t xml:space="preserve">Die Dienstbarkeit entsteht durch Rechtsgeschäft mit dem Grundbucheintrag. </w:t>
      </w:r>
      <w:r w:rsidR="00F86F31" w:rsidRPr="00AD4A87">
        <w:t>Jedes Rechtsg</w:t>
      </w:r>
      <w:r w:rsidR="00F86F31" w:rsidRPr="00AD4A87">
        <w:t>e</w:t>
      </w:r>
      <w:r w:rsidR="00F86F31" w:rsidRPr="00AD4A87">
        <w:t>schäft zur Errichtung einer Dienstbarkeit bedarf der öffentlichen Beurkundung.</w:t>
      </w:r>
    </w:p>
    <w:p w:rsidR="00F86F31" w:rsidRPr="00AD4A87" w:rsidRDefault="00F86F31" w:rsidP="00AD4A87">
      <w:pPr>
        <w:pStyle w:val="Text"/>
      </w:pPr>
    </w:p>
    <w:p w:rsidR="00F86F31" w:rsidRDefault="00F86F31" w:rsidP="00F86F31">
      <w:pPr>
        <w:pStyle w:val="berschrift2"/>
      </w:pPr>
      <w:bookmarkStart w:id="42" w:name="_Toc404511910"/>
      <w:bookmarkStart w:id="43" w:name="_Toc409600257"/>
      <w:r>
        <w:t>Grundlasten</w:t>
      </w:r>
      <w:bookmarkEnd w:id="42"/>
      <w:bookmarkEnd w:id="43"/>
    </w:p>
    <w:p w:rsidR="00F86F31" w:rsidRDefault="00F86F31" w:rsidP="00AD4A87">
      <w:pPr>
        <w:pStyle w:val="Text"/>
      </w:pPr>
      <w:r>
        <w:t>Durch die Grundlast wird der jeweilige Ei</w:t>
      </w:r>
      <w:r w:rsidR="00B27EDC">
        <w:t>g</w:t>
      </w:r>
      <w:r>
        <w:t>entümer eines Grundstückes zu einer Leistung an e</w:t>
      </w:r>
      <w:r>
        <w:t>i</w:t>
      </w:r>
      <w:r>
        <w:t>nen Berechtigten verpflichtet, für die er ausschliesslich mit dem Grundstück haftet. Inhalt der Grundlast ist eine Leistung, die Verpflichtung zu einem Geben (Holz- oder Milchlieferung</w:t>
      </w:r>
      <w:r>
        <w:t>s</w:t>
      </w:r>
      <w:r>
        <w:t>pflicht) oder Handeln (Wegunterhalt oder Bewässerungen im Sin</w:t>
      </w:r>
      <w:r w:rsidR="006378D9">
        <w:t>n</w:t>
      </w:r>
      <w:r>
        <w:t xml:space="preserve"> einer Dienstleistung als se</w:t>
      </w:r>
      <w:r>
        <w:t>l</w:t>
      </w:r>
      <w:r>
        <w:t xml:space="preserve">tener Inhalt einer Grundlast), </w:t>
      </w:r>
      <w:r w:rsidR="00B27EDC">
        <w:t>im Gegensatz zur Dienstbarkeit, welche ein Dulden oder Unte</w:t>
      </w:r>
      <w:r w:rsidR="00B27EDC">
        <w:t>r</w:t>
      </w:r>
      <w:r w:rsidR="00B27EDC">
        <w:t>lassen zum Inhalt hat. Die zu erbringende Leistung muss sich entweder aus der wirtschaftlichen Natur des belasteten Grundstücks ergeben oder für die wirtschaftlichen Bedürfnisse eines b</w:t>
      </w:r>
      <w:r w:rsidR="00B27EDC">
        <w:t>e</w:t>
      </w:r>
      <w:r w:rsidR="00B27EDC">
        <w:t>rechtigten Grundstücks bestimmt sein.</w:t>
      </w:r>
    </w:p>
    <w:p w:rsidR="00B27EDC" w:rsidRDefault="00B27EDC" w:rsidP="00AD4A87">
      <w:pPr>
        <w:pStyle w:val="Text"/>
      </w:pPr>
    </w:p>
    <w:p w:rsidR="00B27EDC" w:rsidRDefault="00B27EDC" w:rsidP="00AD4A87">
      <w:pPr>
        <w:pStyle w:val="Text"/>
      </w:pPr>
      <w:r>
        <w:t>Die Grundlast ist ablösbar und bei der Errichtung ist ein Wertbetrag anzugeben.</w:t>
      </w:r>
    </w:p>
    <w:p w:rsidR="00B27EDC" w:rsidRDefault="00B27EDC" w:rsidP="00AD4A87">
      <w:pPr>
        <w:pStyle w:val="Text"/>
      </w:pPr>
    </w:p>
    <w:p w:rsidR="00B27EDC" w:rsidRDefault="00B27EDC" w:rsidP="00AD4A87">
      <w:pPr>
        <w:pStyle w:val="Text"/>
      </w:pPr>
      <w:r>
        <w:t xml:space="preserve">Das Rechtsinstitut besteht entweder als Personalgrundlast zu Gunsten einer </w:t>
      </w:r>
      <w:r w:rsidR="002F4AF8">
        <w:t>natürlichen</w:t>
      </w:r>
      <w:r>
        <w:t xml:space="preserve"> oder juristischen Person als Berechtigte oder als Realgrundlast zu Gunsten der jeweiligen Eigent</w:t>
      </w:r>
      <w:r>
        <w:t>ü</w:t>
      </w:r>
      <w:r>
        <w:t>mer eines anderen Grundstückes.</w:t>
      </w:r>
    </w:p>
    <w:p w:rsidR="00B27EDC" w:rsidRDefault="00B27EDC" w:rsidP="00AD4A87">
      <w:pPr>
        <w:pStyle w:val="Text"/>
      </w:pPr>
    </w:p>
    <w:p w:rsidR="00B27EDC" w:rsidRDefault="00B27EDC" w:rsidP="00AD4A87">
      <w:pPr>
        <w:pStyle w:val="Text"/>
      </w:pPr>
      <w:r>
        <w:t>Auch bei der Begründung der Grundlast ist zu unterscheiden zwischen Erwerbsgrund (öffentlich beurkundeter Vertrag) und Erwerbsakt (Grundbucheintrag). Die Grundlast entsteht als dingl</w:t>
      </w:r>
      <w:r>
        <w:t>i</w:t>
      </w:r>
      <w:r>
        <w:t>ches Recht erst mit dem Grundbucheintrag.</w:t>
      </w:r>
    </w:p>
    <w:p w:rsidR="00B27EDC" w:rsidRDefault="00B27EDC" w:rsidP="00AD4A87">
      <w:pPr>
        <w:pStyle w:val="Text"/>
      </w:pPr>
    </w:p>
    <w:p w:rsidR="00B27EDC" w:rsidRDefault="00E862F8" w:rsidP="00B27EDC">
      <w:pPr>
        <w:pStyle w:val="berschrift2"/>
      </w:pPr>
      <w:bookmarkStart w:id="44" w:name="_Toc404511911"/>
      <w:bookmarkStart w:id="45" w:name="_Toc409600258"/>
      <w:r>
        <w:t>Pfandrechte</w:t>
      </w:r>
      <w:bookmarkEnd w:id="44"/>
      <w:bookmarkEnd w:id="45"/>
    </w:p>
    <w:p w:rsidR="00E862F8" w:rsidRDefault="00E862F8" w:rsidP="00AD4A87">
      <w:pPr>
        <w:pStyle w:val="Text"/>
      </w:pPr>
      <w:r>
        <w:t>Unter diesen Sammelbegriff fallen das Grundpfandrecht und das Fahrnispfandrecht.</w:t>
      </w:r>
    </w:p>
    <w:p w:rsidR="00E862F8" w:rsidRDefault="00E862F8" w:rsidP="00AD4A87">
      <w:pPr>
        <w:pStyle w:val="Text"/>
      </w:pPr>
    </w:p>
    <w:p w:rsidR="00E862F8" w:rsidRDefault="00E862F8" w:rsidP="00E862F8">
      <w:pPr>
        <w:pStyle w:val="berschrift3"/>
      </w:pPr>
      <w:bookmarkStart w:id="46" w:name="_Toc404511912"/>
      <w:bookmarkStart w:id="47" w:name="_Toc409600259"/>
      <w:r>
        <w:t>Grundpfandrechte</w:t>
      </w:r>
      <w:bookmarkEnd w:id="46"/>
      <w:bookmarkEnd w:id="47"/>
    </w:p>
    <w:p w:rsidR="00E862F8" w:rsidRDefault="00E862F8" w:rsidP="00AD4A87">
      <w:pPr>
        <w:pStyle w:val="Text"/>
      </w:pPr>
      <w:r>
        <w:t>Das Grundpfandrecht ist ein beschränktes dingliches Recht an einer unbeweglichen Sache (Grundstück). Das Pfandrecht bezweckt die Sicherstellung einer Forderung mit dem Wert der Sache und somit die Mobilisierung des Bodenwertes. Es verschafft dem Gläubiger die Befu</w:t>
      </w:r>
      <w:r>
        <w:t>g</w:t>
      </w:r>
      <w:r>
        <w:t>nis, sich im Falle der Nichtbefriedigung aus dem Erlös der Sache schadlos zu halten. Das Recht verschafft dem Gläubiger eine bevorzugte Stellung bei der Haftung des Pfandobjektes.</w:t>
      </w:r>
    </w:p>
    <w:p w:rsidR="00B22502" w:rsidRDefault="00B22502" w:rsidP="00AD4A87">
      <w:pPr>
        <w:pStyle w:val="Text"/>
      </w:pPr>
    </w:p>
    <w:p w:rsidR="00B22502" w:rsidRDefault="00B22502" w:rsidP="00B22502">
      <w:pPr>
        <w:pStyle w:val="berschrift3"/>
      </w:pPr>
      <w:bookmarkStart w:id="48" w:name="_Toc404511913"/>
      <w:bookmarkStart w:id="49" w:name="_Toc409600260"/>
      <w:r>
        <w:t>Arten von Grundpfandrechten</w:t>
      </w:r>
      <w:bookmarkEnd w:id="48"/>
      <w:bookmarkEnd w:id="49"/>
    </w:p>
    <w:p w:rsidR="00B22502" w:rsidRDefault="00B22502" w:rsidP="00B22502">
      <w:pPr>
        <w:pStyle w:val="Text"/>
        <w:rPr>
          <w:b/>
          <w:bCs/>
        </w:rPr>
      </w:pPr>
      <w:r>
        <w:rPr>
          <w:b/>
          <w:bCs/>
        </w:rPr>
        <w:t>Grundpfandverschreibung</w:t>
      </w:r>
    </w:p>
    <w:p w:rsidR="00B22502" w:rsidRDefault="00B22502" w:rsidP="00AD4A87">
      <w:pPr>
        <w:pStyle w:val="Text"/>
      </w:pPr>
      <w:r>
        <w:t>Sie bezweckt die Sicherung einer beliebigen Forderung durch ein Pfandrecht (Sicherung</w:t>
      </w:r>
      <w:r>
        <w:t>s</w:t>
      </w:r>
      <w:r>
        <w:t>pfandrecht) auf einem Grundstück, das nicht unbedingt im Eigentum des Schuldners zu stehen braucht. Die Sicherungsfunktion steht im Vordergrund, z.B. Frauengutsforderung, Kontoko</w:t>
      </w:r>
      <w:r>
        <w:t>r</w:t>
      </w:r>
      <w:r>
        <w:t>rentschulden. Bei unbestimmten Forderungen werden Maximalhypotheken errichtet. Es wird kein Titel, sondern nur ein Beweismittel ausgestellt. Die Hauptsache ist die Forderung, verbu</w:t>
      </w:r>
      <w:r>
        <w:t>n</w:t>
      </w:r>
      <w:r>
        <w:t>den mit der persönlichen Haftung des Schuldners. Die Haftung des Grundpfandes ist nur N</w:t>
      </w:r>
      <w:r>
        <w:t>e</w:t>
      </w:r>
      <w:r>
        <w:t>bensache. Einen verselbständigten Bodenwert stellt die Grundpfandverschreibung nicht dar. Sie ist somit nicht für den Handel berechnet und wird nicht in einem Wertpapier verkörpert. Es wird nur ein Beweismittel ausgestellt.</w:t>
      </w:r>
    </w:p>
    <w:p w:rsidR="002F4AF8" w:rsidRDefault="002F4AF8" w:rsidP="00AD4A87">
      <w:pPr>
        <w:pStyle w:val="Text"/>
      </w:pPr>
    </w:p>
    <w:p w:rsidR="00AD4A87" w:rsidRDefault="00AD4A87" w:rsidP="0014715E">
      <w:pPr>
        <w:pStyle w:val="Text"/>
      </w:pPr>
      <w:r>
        <w:br w:type="page"/>
      </w:r>
    </w:p>
    <w:p w:rsidR="00B22502" w:rsidRDefault="00B22502" w:rsidP="00B22502">
      <w:pPr>
        <w:pStyle w:val="Text"/>
        <w:rPr>
          <w:b/>
          <w:bCs/>
        </w:rPr>
      </w:pPr>
      <w:r>
        <w:rPr>
          <w:b/>
          <w:bCs/>
        </w:rPr>
        <w:lastRenderedPageBreak/>
        <w:t>Schuldbrief</w:t>
      </w:r>
    </w:p>
    <w:p w:rsidR="00B22502" w:rsidRPr="00AD4A87" w:rsidRDefault="00B22502" w:rsidP="00AD4A87">
      <w:pPr>
        <w:pStyle w:val="Text"/>
      </w:pPr>
      <w:r w:rsidRPr="00AD4A87">
        <w:t>Durch den Schuldbrief wird eine persönliche Forderung begründet, deren Bestand in jeder Hi</w:t>
      </w:r>
      <w:r w:rsidRPr="00AD4A87">
        <w:t>n</w:t>
      </w:r>
      <w:r w:rsidRPr="00AD4A87">
        <w:t>sicht klar und eindeutig bestimmt ist. Bedingungen und Gegenleistungen sind ausdrücklich ausgeschlossen. Auf Antrag der Parteien (Schuldner und Gläubiger) wird der Schuldbrief seit dem 01.01.2012 entweder als Registerschuldbrief oder als Papierschuldbrief ausgestaltet.</w:t>
      </w:r>
      <w:r w:rsidR="00C67FE8" w:rsidRPr="00AD4A87">
        <w:t xml:space="preserve"> Der Registerschuldbrief</w:t>
      </w:r>
      <w:r w:rsidRPr="00AD4A87">
        <w:t xml:space="preserve"> wird auf den Namen des Gläubigers oder des Grundeigentümers (Eigent</w:t>
      </w:r>
      <w:r w:rsidRPr="00AD4A87">
        <w:t>ü</w:t>
      </w:r>
      <w:r w:rsidRPr="00AD4A87">
        <w:t>merschuldbrief) eingetragen. Beim Papierschuldbrief</w:t>
      </w:r>
      <w:r w:rsidR="00C67FE8" w:rsidRPr="00AD4A87">
        <w:t xml:space="preserve"> wird neben der Eintragung in das Grun</w:t>
      </w:r>
      <w:r w:rsidR="00C67FE8" w:rsidRPr="00AD4A87">
        <w:t>d</w:t>
      </w:r>
      <w:r w:rsidR="00C67FE8" w:rsidRPr="00AD4A87">
        <w:t>buch ein Wertpapier ausgestellt, welcher auf den Inhaber (Inhaberschuldbrief) oder auf den Namen einer Person (Namenschuldbrief) lauten kann. Beim Papierschuldbrief kann die siche</w:t>
      </w:r>
      <w:r w:rsidR="00C67FE8" w:rsidRPr="00AD4A87">
        <w:t>r</w:t>
      </w:r>
      <w:r w:rsidR="00C67FE8" w:rsidRPr="00AD4A87">
        <w:t>gestellte Forderung nur in Verbindung mit dem Besitz des Pfandtitels veräussert, verpfändet oder geltend gemacht werden. Beim Registerschuldbrief legitimiert sich der Gläubiger hingegen durch die Eintragung seines Namens im Grundbuch.</w:t>
      </w:r>
    </w:p>
    <w:p w:rsidR="00C67FE8" w:rsidRPr="00AD4A87" w:rsidRDefault="00C67FE8" w:rsidP="00AD4A87">
      <w:pPr>
        <w:pStyle w:val="Text"/>
      </w:pPr>
    </w:p>
    <w:p w:rsidR="00C67FE8" w:rsidRPr="00AD4A87" w:rsidRDefault="00C67FE8" w:rsidP="00AD4A87">
      <w:pPr>
        <w:pStyle w:val="Text"/>
      </w:pPr>
      <w:r w:rsidRPr="00AD4A87">
        <w:t>Beim Schuldbrief als auch bei der Grundpfandverschreibung haftet neben dem Grundstück der Schuldner persönlich.</w:t>
      </w:r>
    </w:p>
    <w:p w:rsidR="00C67FE8" w:rsidRPr="00AD4A87" w:rsidRDefault="00C67FE8" w:rsidP="00AD4A87">
      <w:pPr>
        <w:pStyle w:val="Text"/>
      </w:pPr>
    </w:p>
    <w:p w:rsidR="00C67FE8" w:rsidRDefault="00C67FE8" w:rsidP="00C67FE8">
      <w:pPr>
        <w:pStyle w:val="Text"/>
        <w:rPr>
          <w:b/>
          <w:bCs/>
        </w:rPr>
      </w:pPr>
      <w:r>
        <w:rPr>
          <w:b/>
          <w:bCs/>
        </w:rPr>
        <w:t>Gesetzliche Grundpfandrechte</w:t>
      </w:r>
    </w:p>
    <w:p w:rsidR="00C67FE8" w:rsidRDefault="00C67FE8" w:rsidP="00AD4A87">
      <w:pPr>
        <w:pStyle w:val="Text"/>
      </w:pPr>
      <w:r>
        <w:t>Neben den vertraglichen bestehen gesetzliche Grundpfandrechte, die privatrechtlichen (z.B. Verkäufer, Bauhandwerker) und die öffentlich-rechtlichen (z.B. Brandversicherungsprämien). Diese Forderungen stehen stets in enger Beziehung zum Grundstück und stellen immer Grundpfandverschreibungen dar.</w:t>
      </w:r>
    </w:p>
    <w:p w:rsidR="00C67FE8" w:rsidRDefault="00C67FE8" w:rsidP="00AD4A87">
      <w:pPr>
        <w:pStyle w:val="Text"/>
      </w:pPr>
    </w:p>
    <w:p w:rsidR="00C67FE8" w:rsidRDefault="00C67FE8" w:rsidP="00C67FE8">
      <w:pPr>
        <w:pStyle w:val="berschrift3"/>
      </w:pPr>
      <w:bookmarkStart w:id="50" w:name="_Toc404511914"/>
      <w:bookmarkStart w:id="51" w:name="_Toc409600261"/>
      <w:r>
        <w:t>Entstehung eines Grundpfandrechtes</w:t>
      </w:r>
      <w:bookmarkEnd w:id="50"/>
      <w:bookmarkEnd w:id="51"/>
    </w:p>
    <w:p w:rsidR="00C67FE8" w:rsidRDefault="00C67FE8" w:rsidP="00AD4A87">
      <w:pPr>
        <w:pStyle w:val="Text"/>
      </w:pPr>
      <w:r>
        <w:t xml:space="preserve">Die vertraglichen Grundpfandrechte entstehen gestützt auf einen öffentlich beurkundeten Pfandvertrag (Rechtsgrund) mit der Eintragung im </w:t>
      </w:r>
      <w:r w:rsidR="006378D9">
        <w:t xml:space="preserve">Grundbuch </w:t>
      </w:r>
      <w:r>
        <w:t>(Begründungsakt) und erhalten nach ihrer Errichtung einen bestimmten Rang (Pfandstelle).</w:t>
      </w:r>
    </w:p>
    <w:p w:rsidR="00C67FE8" w:rsidRDefault="00C67FE8" w:rsidP="00AD4A87">
      <w:pPr>
        <w:pStyle w:val="Text"/>
      </w:pPr>
      <w:r>
        <w:t>Bei privatrechtlichen gesetzlichen Grundpfandrechten besteht ein Anspruch auf Eintragung im Grundbuch.</w:t>
      </w:r>
    </w:p>
    <w:p w:rsidR="00C67FE8" w:rsidRDefault="00C67FE8" w:rsidP="00AD4A87">
      <w:pPr>
        <w:pStyle w:val="Text"/>
      </w:pPr>
      <w:r>
        <w:t>Öffentlich-rechtliche gesetzliche Grundpfandrechte bestehen ohne Grundbucheintragung. Sie gehen allen vertraglichen Grundpfandrechten vor.</w:t>
      </w:r>
    </w:p>
    <w:p w:rsidR="00B34194" w:rsidRDefault="00B34194" w:rsidP="00AD4A87">
      <w:pPr>
        <w:pStyle w:val="Text"/>
      </w:pPr>
    </w:p>
    <w:p w:rsidR="00B34194" w:rsidRDefault="00B34194" w:rsidP="00B34194">
      <w:pPr>
        <w:pStyle w:val="berschrift3"/>
      </w:pPr>
      <w:bookmarkStart w:id="52" w:name="_Toc404511915"/>
      <w:bookmarkStart w:id="53" w:name="_Toc409600262"/>
      <w:r>
        <w:t>Fahrnispfandrechte</w:t>
      </w:r>
      <w:bookmarkEnd w:id="52"/>
      <w:bookmarkEnd w:id="53"/>
    </w:p>
    <w:p w:rsidR="00B34194" w:rsidRDefault="00B34194" w:rsidP="00AD4A87">
      <w:pPr>
        <w:pStyle w:val="Text"/>
      </w:pPr>
      <w:r>
        <w:t>Es ist ein Pfandrecht an beweglichen körperlichen Sachen und Forderungen und kann grun</w:t>
      </w:r>
      <w:r>
        <w:t>d</w:t>
      </w:r>
      <w:r>
        <w:t xml:space="preserve">sätzlich nur als Faustpfand bestellt werden, das heisst, dass eine Pfandbestellung nur möglich ist, wenn der Pfandgläubiger die Sache in die Hand bekommt. Als Ausnahme dazu steht die Viehverschreibung ohne Übergabe des Pfandgegenstandes. </w:t>
      </w:r>
    </w:p>
    <w:p w:rsidR="00B34194" w:rsidRDefault="00B34194" w:rsidP="00AD4A87">
      <w:pPr>
        <w:pStyle w:val="Text"/>
      </w:pPr>
      <w:r>
        <w:t>Der Pfandvertrag ist der Erwerbsgrund. Der Erwerbsakt hingegen ist die Besitzesübertragung und zwar sowohl bei der Pfandbestellung an körperlichen Sachen (Faustpfand) als auch bei der Verpfändung von Forderungen wie Patentrechten, Grundpfandtiteln, Erbanteilen.</w:t>
      </w:r>
    </w:p>
    <w:p w:rsidR="00B34194" w:rsidRDefault="00B34194" w:rsidP="00AD4A87">
      <w:pPr>
        <w:pStyle w:val="Text"/>
      </w:pPr>
    </w:p>
    <w:p w:rsidR="00B34194" w:rsidRDefault="00B34194" w:rsidP="00B34194">
      <w:pPr>
        <w:pStyle w:val="berschrift1"/>
      </w:pPr>
      <w:bookmarkStart w:id="54" w:name="_Toc404511916"/>
      <w:bookmarkStart w:id="55" w:name="_Toc409600263"/>
      <w:r>
        <w:lastRenderedPageBreak/>
        <w:t>Besitz und Grundbuch</w:t>
      </w:r>
      <w:bookmarkEnd w:id="54"/>
      <w:bookmarkEnd w:id="55"/>
    </w:p>
    <w:p w:rsidR="00B34194" w:rsidRDefault="00B34194" w:rsidP="00AD4A87">
      <w:pPr>
        <w:pStyle w:val="Text"/>
      </w:pPr>
      <w:r>
        <w:t>Besitz und Grundbuch erfüllen vergleichbare Aufgaben, der Besitz für die Fahrnis und das Grundbuch für die Grundstücke.</w:t>
      </w:r>
    </w:p>
    <w:p w:rsidR="00B34194" w:rsidRDefault="00B34194" w:rsidP="00AD4A87">
      <w:pPr>
        <w:pStyle w:val="Text"/>
      </w:pPr>
    </w:p>
    <w:p w:rsidR="00B34194" w:rsidRDefault="00B34194" w:rsidP="00AD4A87">
      <w:pPr>
        <w:pStyle w:val="Text"/>
      </w:pPr>
      <w:r>
        <w:t>Die dinglichen Rechte (Eigentum, Dienstbarkeiten, Grundlasten, Grundpfandrechte) haben a</w:t>
      </w:r>
      <w:r>
        <w:t>b</w:t>
      </w:r>
      <w:r>
        <w:t>solute Wirkung gegenüber jedermann. Diese Rechtswirkung ruft nach einer möglichst weitg</w:t>
      </w:r>
      <w:r>
        <w:t>e</w:t>
      </w:r>
      <w:r>
        <w:t>henden Publizität. Diese äussere Erscheinungsform ist für die Fahrnis der Besitz, für die Grundstücke der Grundbucheintrag</w:t>
      </w:r>
      <w:r w:rsidR="00324325">
        <w:t>, der daher auch die Bezeichnung Buchbesitz trägt.</w:t>
      </w:r>
    </w:p>
    <w:p w:rsidR="00324325" w:rsidRDefault="00324325" w:rsidP="00AD4A87">
      <w:pPr>
        <w:pStyle w:val="Text"/>
      </w:pPr>
      <w:r>
        <w:t>Der Besitz ist normalerweise die Grundlage für den Eigentumserwerb an Fahrnis. Das Grun</w:t>
      </w:r>
      <w:r>
        <w:t>d</w:t>
      </w:r>
      <w:r>
        <w:t>buch ist demgegenüber die Grundlage für den Erwerb dinglicher Rechte an Grundstücken. We</w:t>
      </w:r>
      <w:r>
        <w:t>i</w:t>
      </w:r>
      <w:r>
        <w:t>ter ist mit dem Besitz von Fahrnis die Vermutung verbunden, dass das beanspruchte Rech</w:t>
      </w:r>
      <w:r w:rsidR="006378D9">
        <w:t>t auf Eigentum bestehe, während</w:t>
      </w:r>
      <w:r>
        <w:t xml:space="preserve"> bei Grundstücken die Vermutung auf Eigentum die Folge des Grundbucheintrages ist.</w:t>
      </w:r>
    </w:p>
    <w:p w:rsidR="00324325" w:rsidRDefault="00324325" w:rsidP="00AD4A87">
      <w:pPr>
        <w:pStyle w:val="Text"/>
      </w:pPr>
    </w:p>
    <w:p w:rsidR="00324325" w:rsidRDefault="00324325" w:rsidP="00324325">
      <w:pPr>
        <w:pStyle w:val="berschrift2"/>
      </w:pPr>
      <w:bookmarkStart w:id="56" w:name="_Toc404511917"/>
      <w:bookmarkStart w:id="57" w:name="_Toc409600264"/>
      <w:r>
        <w:t>Besitz</w:t>
      </w:r>
      <w:bookmarkEnd w:id="56"/>
      <w:bookmarkEnd w:id="57"/>
    </w:p>
    <w:p w:rsidR="00324325" w:rsidRDefault="00324325" w:rsidP="00AD4A87">
      <w:pPr>
        <w:pStyle w:val="Text"/>
      </w:pPr>
      <w:r>
        <w:t>Der Besitz unterscheidet sich vom Eigentum. Das Eigentum ist das Recht auf die Sache, der Besitz die tatsächliche Gewalt über die Sache.</w:t>
      </w:r>
    </w:p>
    <w:p w:rsidR="00324325" w:rsidRDefault="00324325" w:rsidP="00AD4A87">
      <w:pPr>
        <w:pStyle w:val="Text"/>
      </w:pPr>
    </w:p>
    <w:p w:rsidR="00324325" w:rsidRDefault="00324325" w:rsidP="00324325">
      <w:pPr>
        <w:pStyle w:val="berschrift3"/>
      </w:pPr>
      <w:bookmarkStart w:id="58" w:name="_Toc404511918"/>
      <w:bookmarkStart w:id="59" w:name="_Toc409600265"/>
      <w:r>
        <w:t>Arten von Besitz</w:t>
      </w:r>
      <w:bookmarkEnd w:id="58"/>
      <w:bookmarkEnd w:id="59"/>
    </w:p>
    <w:p w:rsidR="00324325" w:rsidRDefault="00324325" w:rsidP="00AD4A87">
      <w:pPr>
        <w:pStyle w:val="Text"/>
      </w:pPr>
      <w:r>
        <w:t>Selbständiger Besitz liegt vor, wenn Eigentum und Besitz zusammenfallen.</w:t>
      </w:r>
    </w:p>
    <w:p w:rsidR="00324325" w:rsidRDefault="00324325" w:rsidP="00AD4A87">
      <w:pPr>
        <w:pStyle w:val="Text"/>
      </w:pPr>
      <w:r>
        <w:t>Beim unselbständigen Besitz fallen Eigentum und Besitz auseinander wie zum Beispiel beim Eigentümer und Nutzniesser, Mieter, Pächter, Faustpfandgläubiger, Aufbewahrer, Frachtführer.</w:t>
      </w:r>
    </w:p>
    <w:p w:rsidR="00324325" w:rsidRDefault="00324325" w:rsidP="00AD4A87">
      <w:pPr>
        <w:pStyle w:val="Text"/>
      </w:pPr>
    </w:p>
    <w:p w:rsidR="00324325" w:rsidRDefault="00324325" w:rsidP="00324325">
      <w:pPr>
        <w:pStyle w:val="berschrift3"/>
      </w:pPr>
      <w:bookmarkStart w:id="60" w:name="_Toc404511919"/>
      <w:bookmarkStart w:id="61" w:name="_Toc409600266"/>
      <w:r>
        <w:t>Übertragung des Besitzes</w:t>
      </w:r>
      <w:bookmarkEnd w:id="60"/>
      <w:bookmarkEnd w:id="61"/>
    </w:p>
    <w:p w:rsidR="00324325" w:rsidRDefault="00324325" w:rsidP="00AD4A87">
      <w:pPr>
        <w:pStyle w:val="Text"/>
      </w:pPr>
      <w:r>
        <w:t>Der Sachbesitz wird entweder übertragen durch körperliche Übergabe oder durch Besitzesa</w:t>
      </w:r>
      <w:r>
        <w:t>n</w:t>
      </w:r>
      <w:r>
        <w:t>weisung, wenn der Eigentümer einen Rechtsnachfolger erhält oder wenn der frühere Eigent</w:t>
      </w:r>
      <w:r>
        <w:t>ü</w:t>
      </w:r>
      <w:r>
        <w:t>mer durch Verkauf der Sache selber zum unselbständigen Besitzer wird.</w:t>
      </w:r>
    </w:p>
    <w:p w:rsidR="00324325" w:rsidRDefault="00324325" w:rsidP="00AD4A87">
      <w:pPr>
        <w:pStyle w:val="Text"/>
      </w:pPr>
    </w:p>
    <w:p w:rsidR="00324325" w:rsidRDefault="00324325" w:rsidP="00324325">
      <w:pPr>
        <w:pStyle w:val="berschrift2"/>
      </w:pPr>
      <w:bookmarkStart w:id="62" w:name="_Toc404511920"/>
      <w:bookmarkStart w:id="63" w:name="_Toc409600267"/>
      <w:r>
        <w:t>Grundbuch</w:t>
      </w:r>
      <w:bookmarkEnd w:id="62"/>
      <w:bookmarkEnd w:id="63"/>
    </w:p>
    <w:p w:rsidR="00324325" w:rsidRDefault="00324325" w:rsidP="00AD4A87">
      <w:pPr>
        <w:pStyle w:val="Text"/>
      </w:pPr>
      <w:r>
        <w:t>Das Grundbuch ist ein öffentliches Register. Es bildet die Grundlage für den Eigentumsnac</w:t>
      </w:r>
      <w:r>
        <w:t>h</w:t>
      </w:r>
      <w:r>
        <w:t>weis, die Verpfändung sowie die Belastung von Grundstücken mit Dienstbarkeiten und Grun</w:t>
      </w:r>
      <w:r>
        <w:t>d</w:t>
      </w:r>
      <w:r>
        <w:t>lasten.</w:t>
      </w:r>
    </w:p>
    <w:p w:rsidR="00324325" w:rsidRDefault="00324325" w:rsidP="00AD4A87">
      <w:pPr>
        <w:pStyle w:val="Text"/>
      </w:pPr>
    </w:p>
    <w:p w:rsidR="006B0BD6" w:rsidRDefault="006B0BD6" w:rsidP="006B0BD6">
      <w:pPr>
        <w:pStyle w:val="berschrift3"/>
      </w:pPr>
      <w:bookmarkStart w:id="64" w:name="_Toc404511921"/>
      <w:bookmarkStart w:id="65" w:name="_Toc409600268"/>
      <w:r>
        <w:t>Bestandteile des Grundbuches</w:t>
      </w:r>
      <w:bookmarkEnd w:id="64"/>
      <w:bookmarkEnd w:id="65"/>
    </w:p>
    <w:p w:rsidR="006B0BD6" w:rsidRDefault="006B0BD6" w:rsidP="006B0BD6">
      <w:pPr>
        <w:pStyle w:val="Text"/>
        <w:rPr>
          <w:b/>
          <w:bCs/>
        </w:rPr>
      </w:pPr>
      <w:r>
        <w:rPr>
          <w:b/>
          <w:bCs/>
        </w:rPr>
        <w:t>Tagebuch</w:t>
      </w:r>
    </w:p>
    <w:p w:rsidR="00280E8E" w:rsidRDefault="006B0BD6" w:rsidP="00AD4A87">
      <w:pPr>
        <w:pStyle w:val="Text"/>
      </w:pPr>
      <w:r>
        <w:t>Jede Anmeldung an das Grundbuchamt</w:t>
      </w:r>
      <w:r w:rsidR="00280E8E">
        <w:t xml:space="preserve"> wird unter einer Ordnungsnummer, deren Zählung mit jedem Kalenderjahr neu beginnt, in das Tagebuch aufgenommen. Das Tagebuch bestimmt s</w:t>
      </w:r>
      <w:r w:rsidR="00280E8E">
        <w:t>o</w:t>
      </w:r>
      <w:r w:rsidR="00280E8E">
        <w:t>mit das Datum und den Rang des Eintrages in das Hauptbuch.</w:t>
      </w:r>
    </w:p>
    <w:p w:rsidR="00280E8E" w:rsidRDefault="00280E8E" w:rsidP="00AD4A87">
      <w:pPr>
        <w:pStyle w:val="Text"/>
      </w:pPr>
    </w:p>
    <w:p w:rsidR="00280E8E" w:rsidRDefault="00280E8E" w:rsidP="00280E8E">
      <w:pPr>
        <w:pStyle w:val="Text"/>
        <w:rPr>
          <w:b/>
          <w:bCs/>
        </w:rPr>
      </w:pPr>
      <w:r>
        <w:rPr>
          <w:b/>
          <w:bCs/>
        </w:rPr>
        <w:t>Hauptbuch</w:t>
      </w:r>
    </w:p>
    <w:p w:rsidR="00280E8E" w:rsidRDefault="00280E8E" w:rsidP="00280E8E">
      <w:pPr>
        <w:pStyle w:val="TextDoppelpunkt"/>
      </w:pPr>
      <w:r>
        <w:t>Im Hauptbuch erhält jedes Grundstück ein eigenes Blatt und eine eigene Nummer. Auf jedem Blatt in besonderen Abteilungen werden eingetragen:</w:t>
      </w:r>
    </w:p>
    <w:p w:rsidR="00280E8E" w:rsidRDefault="00280E8E" w:rsidP="00280E8E">
      <w:pPr>
        <w:pStyle w:val="AufzhlungszeichenText"/>
      </w:pPr>
      <w:r>
        <w:t>das Eigentum</w:t>
      </w:r>
    </w:p>
    <w:p w:rsidR="00280E8E" w:rsidRDefault="00280E8E" w:rsidP="00280E8E">
      <w:pPr>
        <w:pStyle w:val="AufzhlungszeichenText"/>
      </w:pPr>
      <w:r>
        <w:t>die Dienstbarkeiten und Grundlasten</w:t>
      </w:r>
    </w:p>
    <w:p w:rsidR="00280E8E" w:rsidRDefault="00280E8E" w:rsidP="00280E8E">
      <w:pPr>
        <w:pStyle w:val="AufzhlungszeichenText"/>
      </w:pPr>
      <w:r>
        <w:t>die Pfandrechte</w:t>
      </w:r>
    </w:p>
    <w:p w:rsidR="00280E8E" w:rsidRDefault="00280E8E" w:rsidP="00280E8E">
      <w:pPr>
        <w:pStyle w:val="AufzhlungszeichenText"/>
      </w:pPr>
      <w:r>
        <w:t>Vor- und Anmerkungen</w:t>
      </w:r>
    </w:p>
    <w:p w:rsidR="00280E8E" w:rsidRPr="00280E8E" w:rsidRDefault="00280E8E" w:rsidP="00DC30B0">
      <w:pPr>
        <w:pStyle w:val="Text"/>
      </w:pPr>
    </w:p>
    <w:p w:rsidR="00C67FE8" w:rsidRDefault="00280E8E" w:rsidP="00280E8E">
      <w:pPr>
        <w:pStyle w:val="Text"/>
        <w:rPr>
          <w:b/>
          <w:bCs/>
        </w:rPr>
      </w:pPr>
      <w:r>
        <w:rPr>
          <w:b/>
          <w:bCs/>
        </w:rPr>
        <w:t>Pläne</w:t>
      </w:r>
    </w:p>
    <w:p w:rsidR="00280E8E" w:rsidRDefault="00280E8E" w:rsidP="00AD4A87">
      <w:pPr>
        <w:pStyle w:val="Text"/>
      </w:pPr>
      <w:r>
        <w:t>Daraus sind der Grenzverlauf und die Grenzzeichen ersichtlich. Bei jeder Grenzänderung muss vor dem Eintrag im Grundbuch ein Plan mit entsprechender Flächenberechnung durch den Grundbuchgeometer erstellt werden (Mutationstabelle mit Mutationsplan). Wo die Vermessung noch nicht durchgeführt worden ist, treten an Stelle der Pläne die Liegenschaftsverzeichnisse.</w:t>
      </w:r>
    </w:p>
    <w:p w:rsidR="00AD4A87" w:rsidRDefault="00AD4A87" w:rsidP="00AD4A87">
      <w:pPr>
        <w:pStyle w:val="Text"/>
      </w:pPr>
    </w:p>
    <w:p w:rsidR="00280E8E" w:rsidRDefault="00280E8E" w:rsidP="00280E8E">
      <w:pPr>
        <w:pStyle w:val="Text"/>
        <w:rPr>
          <w:b/>
          <w:bCs/>
        </w:rPr>
      </w:pPr>
      <w:r>
        <w:rPr>
          <w:b/>
          <w:bCs/>
        </w:rPr>
        <w:t>Belege</w:t>
      </w:r>
    </w:p>
    <w:p w:rsidR="00280E8E" w:rsidRPr="00AD4A87" w:rsidRDefault="00280E8E" w:rsidP="00AD4A87">
      <w:pPr>
        <w:pStyle w:val="Text"/>
      </w:pPr>
      <w:r w:rsidRPr="00AD4A87">
        <w:t>Unter den Belegen sind jene Urkunden zu verstehen, aufgrund welcher die Einträge im Grun</w:t>
      </w:r>
      <w:r w:rsidRPr="00AD4A87">
        <w:t>d</w:t>
      </w:r>
      <w:r w:rsidRPr="00AD4A87">
        <w:t>buch erfolgen.</w:t>
      </w:r>
    </w:p>
    <w:p w:rsidR="00280E8E" w:rsidRPr="00AD4A87" w:rsidRDefault="00280E8E" w:rsidP="00AD4A87">
      <w:pPr>
        <w:pStyle w:val="Text"/>
      </w:pPr>
    </w:p>
    <w:p w:rsidR="00280E8E" w:rsidRPr="00280E8E" w:rsidRDefault="00280E8E" w:rsidP="00280E8E">
      <w:pPr>
        <w:pStyle w:val="Text"/>
        <w:rPr>
          <w:b/>
          <w:bCs/>
        </w:rPr>
      </w:pPr>
      <w:r w:rsidRPr="00280E8E">
        <w:rPr>
          <w:b/>
          <w:bCs/>
        </w:rPr>
        <w:t>Liegenschaftsbeschreibungen</w:t>
      </w:r>
    </w:p>
    <w:p w:rsidR="00280E8E" w:rsidRDefault="00280E8E" w:rsidP="00AD4A87">
      <w:pPr>
        <w:pStyle w:val="Text"/>
      </w:pPr>
      <w:r>
        <w:t>Sie geben die nähere Darstellung des Grundstückes nach Lage, Grenzen, Flächeninhalt, Ku</w:t>
      </w:r>
      <w:r>
        <w:t>l</w:t>
      </w:r>
      <w:r>
        <w:t>turart und Bauten an. Sie können auch gewisse gesetzliche im öffentlichen Recht des Bundes vorgesehenen Anmerkungen enthalten.</w:t>
      </w:r>
    </w:p>
    <w:p w:rsidR="00280E8E" w:rsidRDefault="00280E8E" w:rsidP="00AD4A87">
      <w:pPr>
        <w:pStyle w:val="Text"/>
      </w:pPr>
    </w:p>
    <w:p w:rsidR="00280E8E" w:rsidRDefault="00280E8E" w:rsidP="00280E8E">
      <w:pPr>
        <w:pStyle w:val="Text"/>
        <w:rPr>
          <w:b/>
          <w:bCs/>
        </w:rPr>
      </w:pPr>
      <w:r>
        <w:rPr>
          <w:b/>
          <w:bCs/>
        </w:rPr>
        <w:t>Hilfsregister</w:t>
      </w:r>
    </w:p>
    <w:p w:rsidR="00280E8E" w:rsidRDefault="00280E8E" w:rsidP="00AD4A87">
      <w:pPr>
        <w:pStyle w:val="Text"/>
      </w:pPr>
      <w:r>
        <w:t>Die Hilfsregister bilden nicht Bestandteil des Grundbuches. Sie dienen lediglich der Information wie das Gläubigerregister und das Eigen</w:t>
      </w:r>
      <w:r w:rsidR="008B2BF0">
        <w:t>t</w:t>
      </w:r>
      <w:r>
        <w:t>ümerverzeichnis.</w:t>
      </w:r>
    </w:p>
    <w:p w:rsidR="00280E8E" w:rsidRDefault="00280E8E" w:rsidP="00AD4A87">
      <w:pPr>
        <w:pStyle w:val="Text"/>
      </w:pPr>
    </w:p>
    <w:p w:rsidR="008B2BF0" w:rsidRDefault="008B2BF0" w:rsidP="008B2BF0">
      <w:pPr>
        <w:pStyle w:val="berschrift3"/>
      </w:pPr>
      <w:bookmarkStart w:id="66" w:name="_Toc404511922"/>
      <w:bookmarkStart w:id="67" w:name="_Toc409600269"/>
      <w:r>
        <w:t>Erfordernis an den Grundbucheintrag</w:t>
      </w:r>
      <w:bookmarkEnd w:id="66"/>
      <w:bookmarkEnd w:id="67"/>
    </w:p>
    <w:p w:rsidR="008B2BF0" w:rsidRDefault="008B2BF0" w:rsidP="00AD4A87">
      <w:pPr>
        <w:pStyle w:val="Text"/>
      </w:pPr>
      <w:r>
        <w:t>Die Eintragung an das Grundbuch setzt eine Grundbuchanmeldung, einen Ausweis über das Verfügungsrecht und einen Rechtsgrund voraus.</w:t>
      </w:r>
    </w:p>
    <w:p w:rsidR="008B2BF0" w:rsidRDefault="008B2BF0" w:rsidP="00AD4A87">
      <w:pPr>
        <w:pStyle w:val="Text"/>
      </w:pPr>
    </w:p>
    <w:p w:rsidR="008B2BF0" w:rsidRDefault="008B2BF0" w:rsidP="00AD4A87">
      <w:pPr>
        <w:pStyle w:val="Text"/>
      </w:pPr>
      <w:r>
        <w:t xml:space="preserve">Die schriftliche Grundbuchanmeldung ist die Urkunde, </w:t>
      </w:r>
      <w:r w:rsidR="002F4AF8">
        <w:t xml:space="preserve">welche </w:t>
      </w:r>
      <w:r>
        <w:t>die grundbuchliche Verfügung enthält. Sie beinhaltet den Antrag an das Grundbuchamt bzw. die Eintragungsbewilligung.</w:t>
      </w:r>
    </w:p>
    <w:p w:rsidR="008B2BF0" w:rsidRDefault="008B2BF0" w:rsidP="00AD4A87">
      <w:pPr>
        <w:pStyle w:val="Text"/>
      </w:pPr>
    </w:p>
    <w:p w:rsidR="008B2BF0" w:rsidRDefault="008B2BF0" w:rsidP="00AD4A87">
      <w:pPr>
        <w:pStyle w:val="Text"/>
      </w:pPr>
      <w:r>
        <w:t>Rechtsgrundausweis: Es muss ein rechtsgültiger Vertrag oder eine von der zuständigen Amt</w:t>
      </w:r>
      <w:r>
        <w:t>s</w:t>
      </w:r>
      <w:r>
        <w:t xml:space="preserve">stelle </w:t>
      </w:r>
      <w:r w:rsidR="00211140">
        <w:t>(rechtskräftige Verfügung) oder der berechtigten Person ausgestellte Bescheinigung vo</w:t>
      </w:r>
      <w:r w:rsidR="00211140">
        <w:t>r</w:t>
      </w:r>
      <w:r w:rsidR="00211140">
        <w:t>liegen.</w:t>
      </w:r>
    </w:p>
    <w:p w:rsidR="00211140" w:rsidRDefault="00211140" w:rsidP="00AD4A87">
      <w:pPr>
        <w:pStyle w:val="Text"/>
      </w:pPr>
    </w:p>
    <w:p w:rsidR="00211140" w:rsidRDefault="00211140" w:rsidP="00AD4A87">
      <w:pPr>
        <w:pStyle w:val="Text"/>
      </w:pPr>
      <w:r>
        <w:t>Ausweis über das Verfügungsrecht: Die betreffende Person oder Stelle muss zur Anmeldung legitimiert sein.</w:t>
      </w:r>
    </w:p>
    <w:p w:rsidR="00211140" w:rsidRDefault="00211140" w:rsidP="00AD4A87">
      <w:pPr>
        <w:pStyle w:val="Text"/>
      </w:pPr>
    </w:p>
    <w:p w:rsidR="00211140" w:rsidRDefault="00211140" w:rsidP="00211140">
      <w:pPr>
        <w:pStyle w:val="berschrift3"/>
      </w:pPr>
      <w:bookmarkStart w:id="68" w:name="_Toc404511923"/>
      <w:bookmarkStart w:id="69" w:name="_Toc409600270"/>
      <w:r>
        <w:t>Wirkung des Grundbuches</w:t>
      </w:r>
      <w:bookmarkEnd w:id="68"/>
      <w:bookmarkEnd w:id="69"/>
    </w:p>
    <w:p w:rsidR="00211140" w:rsidRDefault="00211140" w:rsidP="00AD4A87">
      <w:pPr>
        <w:pStyle w:val="TextDoppelpunkt"/>
      </w:pPr>
      <w:r>
        <w:t>Negative Rechtskraft:</w:t>
      </w:r>
    </w:p>
    <w:p w:rsidR="00211140" w:rsidRDefault="001B6B61" w:rsidP="00211140">
      <w:pPr>
        <w:pStyle w:val="Text"/>
      </w:pPr>
      <w:r>
        <w:t>Dingliche Rechte an Grundstücken entstehen (grundsätzlich) nicht, ohne dass sie im Grun</w:t>
      </w:r>
      <w:r>
        <w:t>d</w:t>
      </w:r>
      <w:r>
        <w:t>buch eingetragen sind. Fehlt ein Eintrag, so heisst dies also, dass kein dingliches Recht b</w:t>
      </w:r>
      <w:r>
        <w:t>e</w:t>
      </w:r>
      <w:r>
        <w:t>steht.</w:t>
      </w:r>
    </w:p>
    <w:p w:rsidR="00AD4A87" w:rsidRDefault="00AD4A87" w:rsidP="00211140">
      <w:pPr>
        <w:pStyle w:val="Text"/>
      </w:pPr>
    </w:p>
    <w:p w:rsidR="001B6B61" w:rsidRDefault="001B6B61" w:rsidP="00AD4A87">
      <w:pPr>
        <w:pStyle w:val="TextDoppelpunkt"/>
      </w:pPr>
      <w:r>
        <w:t>Positive Rechtskraft:</w:t>
      </w:r>
    </w:p>
    <w:p w:rsidR="001B6B61" w:rsidRDefault="001B6B61" w:rsidP="00211140">
      <w:pPr>
        <w:pStyle w:val="Text"/>
      </w:pPr>
      <w:r>
        <w:t>Der Erwerber eines Rechtes kann sich in gutem Glauben auf den Grundbucheintrag verlassen.</w:t>
      </w:r>
    </w:p>
    <w:p w:rsidR="001B6B61" w:rsidRDefault="001B6B61" w:rsidP="00211140">
      <w:pPr>
        <w:pStyle w:val="Text"/>
      </w:pPr>
    </w:p>
    <w:p w:rsidR="001B6B61" w:rsidRDefault="001B6B61" w:rsidP="001B6B61">
      <w:pPr>
        <w:pStyle w:val="berschrift3"/>
      </w:pPr>
      <w:bookmarkStart w:id="70" w:name="_Toc404511924"/>
      <w:bookmarkStart w:id="71" w:name="_Toc409600271"/>
      <w:r>
        <w:t>Weitere Grundsätze für das Grundbuch</w:t>
      </w:r>
      <w:bookmarkEnd w:id="70"/>
      <w:bookmarkEnd w:id="71"/>
    </w:p>
    <w:p w:rsidR="001B6B61" w:rsidRDefault="001B6B61" w:rsidP="00AD4A87">
      <w:pPr>
        <w:pStyle w:val="TextDoppelpunkt"/>
      </w:pPr>
      <w:r>
        <w:t>Prüfungspflicht (Legalitätsprinzip):</w:t>
      </w:r>
    </w:p>
    <w:p w:rsidR="001B6B61" w:rsidRDefault="001B6B61" w:rsidP="001B6B61">
      <w:pPr>
        <w:pStyle w:val="Text"/>
      </w:pPr>
      <w:r>
        <w:t>Dem Grundbuchverw</w:t>
      </w:r>
      <w:r w:rsidR="002F4AF8">
        <w:t>a</w:t>
      </w:r>
      <w:r>
        <w:t>lter obliegt von Amtes wegen eine strenge Prüfungspflicht in Bezug auf das Verfügungsrecht und den Rechtsgrundausweis.</w:t>
      </w:r>
    </w:p>
    <w:p w:rsidR="001B6B61" w:rsidRDefault="001B6B61" w:rsidP="001B6B61">
      <w:pPr>
        <w:pStyle w:val="Text"/>
      </w:pPr>
    </w:p>
    <w:p w:rsidR="001B6B61" w:rsidRDefault="001B6B61" w:rsidP="00AD4A87">
      <w:pPr>
        <w:pStyle w:val="TextDoppelpunkt"/>
      </w:pPr>
      <w:r>
        <w:t>Eintragungsprinzip:</w:t>
      </w:r>
    </w:p>
    <w:p w:rsidR="001B6B61" w:rsidRDefault="001B6B61" w:rsidP="00AD4A87">
      <w:pPr>
        <w:pStyle w:val="Text"/>
      </w:pPr>
      <w:r>
        <w:t>Das Eintragungsprinzip besagt, dass für den Erwerb von dinglichen Rechten an Grundstücken grundsätzlich die Eintragung in das Grundbuch erforderlich ist.</w:t>
      </w:r>
    </w:p>
    <w:p w:rsidR="001B6B61" w:rsidRDefault="001B6B61" w:rsidP="00AD4A87">
      <w:pPr>
        <w:pStyle w:val="Text"/>
      </w:pPr>
    </w:p>
    <w:p w:rsidR="001B6B61" w:rsidRDefault="001B6B61" w:rsidP="00AD4A87">
      <w:pPr>
        <w:pStyle w:val="TextDoppelpunkt"/>
      </w:pPr>
      <w:r>
        <w:t>Prinzip der Öffentlichkeit:</w:t>
      </w:r>
    </w:p>
    <w:p w:rsidR="001B6B61" w:rsidRDefault="001B6B61" w:rsidP="00AD4A87">
      <w:pPr>
        <w:pStyle w:val="Text"/>
      </w:pPr>
      <w:r>
        <w:t xml:space="preserve">Über die Eigentumsverhältnisse an Grundstücken besteht ein voraussetzungsloser </w:t>
      </w:r>
      <w:r w:rsidR="001A59C9">
        <w:t>Anspruch auf Auskunftserteilung. Eine weitergehende Einsicht wird durch den Umfang des glaubhaft g</w:t>
      </w:r>
      <w:r w:rsidR="001A59C9">
        <w:t>e</w:t>
      </w:r>
      <w:r w:rsidR="001A59C9">
        <w:t>machten Interesses bestimmt.</w:t>
      </w:r>
    </w:p>
    <w:p w:rsidR="001A59C9" w:rsidRDefault="001A59C9" w:rsidP="001A59C9">
      <w:pPr>
        <w:pStyle w:val="berschrift3"/>
      </w:pPr>
      <w:bookmarkStart w:id="72" w:name="_Toc404511925"/>
      <w:bookmarkStart w:id="73" w:name="_Toc409600272"/>
      <w:r>
        <w:lastRenderedPageBreak/>
        <w:t>Grundbuchführung im Kanton Aargau</w:t>
      </w:r>
      <w:bookmarkEnd w:id="72"/>
      <w:bookmarkEnd w:id="73"/>
    </w:p>
    <w:p w:rsidR="001A59C9" w:rsidRPr="00AD4A87" w:rsidRDefault="000478E5" w:rsidP="00AD4A87">
      <w:pPr>
        <w:pStyle w:val="Text"/>
      </w:pPr>
      <w:r w:rsidRPr="00AD4A87">
        <w:t>Zurzeit</w:t>
      </w:r>
      <w:r w:rsidR="00EE28A8" w:rsidRPr="00AD4A87">
        <w:t xml:space="preserve"> wird in</w:t>
      </w:r>
      <w:r w:rsidR="000768FD" w:rsidRPr="00AD4A87">
        <w:t xml:space="preserve"> jedem Bezirk ein Grundbuchamt geführt. Jedem Grundbuchamt steht ein Grun</w:t>
      </w:r>
      <w:r w:rsidR="000768FD" w:rsidRPr="00AD4A87">
        <w:t>d</w:t>
      </w:r>
      <w:r w:rsidR="000768FD" w:rsidRPr="00AD4A87">
        <w:t>buchverwalter vor. Die Nachführung der Grundbuchpläne erfolgt durch die Grundbuchgeometer der Bezirke. Der Grundbuchverwalter muss als Notar und der Grundbuchgeometer als Geom</w:t>
      </w:r>
      <w:r w:rsidR="000768FD" w:rsidRPr="00AD4A87">
        <w:t>e</w:t>
      </w:r>
      <w:r w:rsidR="000768FD" w:rsidRPr="00AD4A87">
        <w:t>ter patentiert sein.</w:t>
      </w:r>
    </w:p>
    <w:p w:rsidR="006378D9" w:rsidRPr="00AD4A87" w:rsidRDefault="006378D9" w:rsidP="00AD4A87">
      <w:pPr>
        <w:pStyle w:val="Text"/>
      </w:pPr>
    </w:p>
    <w:p w:rsidR="000768FD" w:rsidRPr="00AD4A87" w:rsidRDefault="000768FD" w:rsidP="00AD4A87">
      <w:pPr>
        <w:pStyle w:val="Text"/>
      </w:pPr>
      <w:r w:rsidRPr="00AD4A87">
        <w:t>Am 16. September 2014 legte der Grosse Rat in seiner Beratung die Anzahl der Grundbuchä</w:t>
      </w:r>
      <w:r w:rsidRPr="00AD4A87">
        <w:t>m</w:t>
      </w:r>
      <w:r w:rsidRPr="00AD4A87">
        <w:t>ter auf die neuen Standorte Baden, Laufenburg, Wohlen und Zofingen fest</w:t>
      </w:r>
      <w:r w:rsidR="006378D9" w:rsidRPr="00AD4A87">
        <w:t>,</w:t>
      </w:r>
      <w:r w:rsidRPr="00AD4A87">
        <w:t xml:space="preserve"> womit die bezirk</w:t>
      </w:r>
      <w:r w:rsidRPr="00AD4A87">
        <w:t>s</w:t>
      </w:r>
      <w:r w:rsidRPr="00AD4A87">
        <w:t>weise Führung aufgehoben w</w:t>
      </w:r>
      <w:r w:rsidR="002F4AF8" w:rsidRPr="00AD4A87">
        <w:t>i</w:t>
      </w:r>
      <w:r w:rsidRPr="00AD4A87">
        <w:t>rd. Die neue Organ</w:t>
      </w:r>
      <w:r w:rsidR="002F4AF8" w:rsidRPr="00AD4A87">
        <w:t>i</w:t>
      </w:r>
      <w:r w:rsidRPr="00AD4A87">
        <w:t xml:space="preserve">sation wird </w:t>
      </w:r>
      <w:r w:rsidR="002F4AF8" w:rsidRPr="00AD4A87">
        <w:t>voraussichtlich</w:t>
      </w:r>
      <w:r w:rsidR="006378D9" w:rsidRPr="00AD4A87">
        <w:t xml:space="preserve"> i</w:t>
      </w:r>
      <w:r w:rsidR="002F4AF8" w:rsidRPr="00AD4A87">
        <w:t xml:space="preserve">m Jahre </w:t>
      </w:r>
      <w:r w:rsidRPr="00AD4A87">
        <w:t xml:space="preserve">2016 umgesetzt </w:t>
      </w:r>
      <w:r w:rsidR="006378D9" w:rsidRPr="00AD4A87">
        <w:t>werden</w:t>
      </w:r>
      <w:r w:rsidR="002F4AF8" w:rsidRPr="00AD4A87">
        <w:t>.</w:t>
      </w:r>
    </w:p>
    <w:p w:rsidR="000768FD" w:rsidRPr="00AD4A87" w:rsidRDefault="000768FD" w:rsidP="00AD4A87">
      <w:pPr>
        <w:pStyle w:val="Text"/>
      </w:pPr>
    </w:p>
    <w:p w:rsidR="000768FD" w:rsidRDefault="000768FD" w:rsidP="000768FD">
      <w:pPr>
        <w:pStyle w:val="berschrift1"/>
      </w:pPr>
      <w:bookmarkStart w:id="74" w:name="_Toc404511926"/>
      <w:bookmarkStart w:id="75" w:name="_Toc409600273"/>
      <w:r>
        <w:lastRenderedPageBreak/>
        <w:t>Liegenschaftsverzeichnis der Gemeinden</w:t>
      </w:r>
      <w:bookmarkEnd w:id="74"/>
      <w:bookmarkEnd w:id="75"/>
    </w:p>
    <w:p w:rsidR="000768FD" w:rsidRPr="00AD4A87" w:rsidRDefault="000768FD" w:rsidP="00AD4A87">
      <w:pPr>
        <w:pStyle w:val="Text"/>
      </w:pPr>
      <w:r w:rsidRPr="00AD4A87">
        <w:t>Die Gemeinden sind verpflichtet, für die Zwecke der Gemeindeverwaltung (Liegenschaftsko</w:t>
      </w:r>
      <w:r w:rsidRPr="00AD4A87">
        <w:t>n</w:t>
      </w:r>
      <w:r w:rsidRPr="00AD4A87">
        <w:t>trolle, Steueramt) ein Liegenschaftsverzeichnis zu führen. Das Liegenschaftsverzeichnis ist das Register sämtlicher Grundstücke in der Gemeinde. Die Hauptdaten entsprechen den Grun</w:t>
      </w:r>
      <w:r w:rsidRPr="00AD4A87">
        <w:t>d</w:t>
      </w:r>
      <w:r w:rsidRPr="00AD4A87">
        <w:t>bucheintragungen und werden vom Grundbuchamt den Gemeinden gemeldet.</w:t>
      </w:r>
    </w:p>
    <w:p w:rsidR="000768FD" w:rsidRPr="00AD4A87" w:rsidRDefault="000768FD" w:rsidP="00AD4A87">
      <w:pPr>
        <w:pStyle w:val="Text"/>
      </w:pPr>
      <w:r w:rsidRPr="00AD4A87">
        <w:t>Das Liegenschaftsverzeichnis vermittelt den Gemeinden einen Überblick über die Eigentum</w:t>
      </w:r>
      <w:r w:rsidRPr="00AD4A87">
        <w:t>s</w:t>
      </w:r>
      <w:r w:rsidRPr="00AD4A87">
        <w:t>verhältnisse an Grundstücken und Gebäulichkeiten sowie den Steuerbehörden die Erfassung des in den Liegenschaften verkörperten Vermögens und den daraus fliessenden Kapitalgewi</w:t>
      </w:r>
      <w:r w:rsidRPr="00AD4A87">
        <w:t>n</w:t>
      </w:r>
      <w:r w:rsidRPr="00AD4A87">
        <w:t>nen</w:t>
      </w:r>
      <w:r w:rsidR="00FB6C87" w:rsidRPr="00AD4A87">
        <w:t xml:space="preserve"> (Grundstückgewinnsteuer, Liquidationsgewinnsteuer, Teilveräusserungen usw.).</w:t>
      </w:r>
    </w:p>
    <w:p w:rsidR="00FB6C87" w:rsidRPr="00AD4A87" w:rsidRDefault="00FB6C87" w:rsidP="00AD4A87">
      <w:pPr>
        <w:pStyle w:val="Text"/>
      </w:pPr>
    </w:p>
    <w:p w:rsidR="00FB6C87" w:rsidRDefault="00FB6C87" w:rsidP="00FB6C87">
      <w:pPr>
        <w:pStyle w:val="berschrift1"/>
      </w:pPr>
      <w:bookmarkStart w:id="76" w:name="_Toc404511927"/>
      <w:bookmarkStart w:id="77" w:name="_Toc409600274"/>
      <w:r>
        <w:lastRenderedPageBreak/>
        <w:t>Öffentliche Beurkundung</w:t>
      </w:r>
      <w:bookmarkEnd w:id="76"/>
      <w:bookmarkEnd w:id="77"/>
    </w:p>
    <w:p w:rsidR="00FB6C87" w:rsidRPr="00AD4A87" w:rsidRDefault="00FB6C87" w:rsidP="00AD4A87">
      <w:pPr>
        <w:pStyle w:val="Text"/>
      </w:pPr>
      <w:r w:rsidRPr="00AD4A87">
        <w:t>Unter öffentlicher Beurkundung ist die Beurkundung eines Rechtsgeschäftes durch eine U</w:t>
      </w:r>
      <w:r w:rsidRPr="00AD4A87">
        <w:t>r</w:t>
      </w:r>
      <w:r w:rsidR="00D23FAF" w:rsidRPr="00AD4A87">
        <w:t xml:space="preserve">kundsperson </w:t>
      </w:r>
      <w:r w:rsidRPr="00AD4A87">
        <w:t>innerhalb der Grenzen ihrer Befugnis und in der vorgeschriebenen Form zu ve</w:t>
      </w:r>
      <w:r w:rsidRPr="00AD4A87">
        <w:t>r</w:t>
      </w:r>
      <w:r w:rsidRPr="00AD4A87">
        <w:t>stehen. Das Beurkundungswesen ist kantonal geregelt.</w:t>
      </w:r>
    </w:p>
    <w:p w:rsidR="00FB6C87" w:rsidRPr="00AD4A87" w:rsidRDefault="00FB6C87" w:rsidP="00AD4A87">
      <w:pPr>
        <w:pStyle w:val="Text"/>
      </w:pPr>
    </w:p>
    <w:p w:rsidR="00FB6C87" w:rsidRPr="00AD4A87" w:rsidRDefault="00FB6C87" w:rsidP="00AD4A87">
      <w:pPr>
        <w:pStyle w:val="Text"/>
      </w:pPr>
      <w:r w:rsidRPr="00AD4A87">
        <w:t>Eine öffentliche Beurkundung ist immer dann notwendig, wenn diese qualifizierte Form vo</w:t>
      </w:r>
      <w:r w:rsidR="006378D9" w:rsidRPr="00AD4A87">
        <w:t>m</w:t>
      </w:r>
      <w:r w:rsidRPr="00AD4A87">
        <w:t xml:space="preserve"> Ges</w:t>
      </w:r>
      <w:r w:rsidR="006378D9" w:rsidRPr="00AD4A87">
        <w:t>etz ausdrücklich verlangt wird wie bei</w:t>
      </w:r>
      <w:r w:rsidRPr="00AD4A87">
        <w:t xml:space="preserve"> Kauf, Schenkung und Tausch von Grundstücken, E</w:t>
      </w:r>
      <w:r w:rsidRPr="00AD4A87">
        <w:t>r</w:t>
      </w:r>
      <w:r w:rsidRPr="00AD4A87">
        <w:t>richtung von Grundpfandrechten, Begründung von Grunddienstbarkeiten, Begründung einer Nutzniessung an Grundstücken, Begründung eines Wohnrechtes, Begründung eine</w:t>
      </w:r>
      <w:r w:rsidR="006378D9" w:rsidRPr="00AD4A87">
        <w:t>s</w:t>
      </w:r>
      <w:r w:rsidRPr="00AD4A87">
        <w:t xml:space="preserve"> selbstä</w:t>
      </w:r>
      <w:r w:rsidRPr="00AD4A87">
        <w:t>n</w:t>
      </w:r>
      <w:r w:rsidRPr="00AD4A87">
        <w:t>digen und dauernden Baurechtes, Beurkundung von Bürgschaften in den vorgesehenen Fällen.</w:t>
      </w:r>
    </w:p>
    <w:p w:rsidR="00FB6C87" w:rsidRPr="00AD4A87" w:rsidRDefault="00FB6C87" w:rsidP="00AD4A87">
      <w:pPr>
        <w:pStyle w:val="Text"/>
      </w:pPr>
    </w:p>
    <w:p w:rsidR="00FB6C87" w:rsidRDefault="00FB6C87" w:rsidP="00FB6C87">
      <w:pPr>
        <w:pStyle w:val="berschrift2"/>
      </w:pPr>
      <w:bookmarkStart w:id="78" w:name="_Toc404511928"/>
      <w:bookmarkStart w:id="79" w:name="_Toc409600275"/>
      <w:r>
        <w:t>Inhalt des Beurkundungsrechts</w:t>
      </w:r>
      <w:bookmarkEnd w:id="78"/>
      <w:bookmarkEnd w:id="79"/>
    </w:p>
    <w:p w:rsidR="00FB6C87" w:rsidRDefault="00FB6C87" w:rsidP="00AD4A87">
      <w:pPr>
        <w:pStyle w:val="Text"/>
      </w:pPr>
      <w:r>
        <w:t>Das materielle Beurkundungsrecht regelt die Organisation im Beurkundungswesen. Am 1.</w:t>
      </w:r>
      <w:r w:rsidR="0014715E">
        <w:t> </w:t>
      </w:r>
      <w:r>
        <w:t>Januar</w:t>
      </w:r>
      <w:r w:rsidR="0014715E">
        <w:t> </w:t>
      </w:r>
      <w:r>
        <w:t>2013 trat das neue Beurkundungs- und Beglaubigungsgesetz in Kraft</w:t>
      </w:r>
      <w:r w:rsidR="006378D9">
        <w:t>,</w:t>
      </w:r>
      <w:r>
        <w:t xml:space="preserve"> wonach nur noch Urkundspersonen für öffentliche Beurkundungen im Kantons Aargau zuständig sind. Die im Zeitpunkt des Inkrafttretens des neuen Gesetzes urkundsberechtigten Gemeindeschreiber behalten diese Befugnis </w:t>
      </w:r>
      <w:r w:rsidR="002C6E2B">
        <w:t>bis zum Ende ihrer Anstellung als Gemeindeschreiber. Sie können nur Verträge über Veräusserung und Verpfändung von Liegenschaften, Aufhebung oder Abänd</w:t>
      </w:r>
      <w:r w:rsidR="002C6E2B">
        <w:t>e</w:t>
      </w:r>
      <w:r w:rsidR="002C6E2B">
        <w:t>rung gesetzlicher Eigentumsbeschränkungen sowie Bürgschaften beurkunden. Neben dieser sachlichen Beschränkung sind sie örtlich beschränkt auf das Gebiet der Gemeinde, in welcher sie als Gemeindeschreiber amten. Sie können zusätzlich vom Gemeinderat einer oder mehr</w:t>
      </w:r>
      <w:r w:rsidR="002C6E2B">
        <w:t>e</w:t>
      </w:r>
      <w:r w:rsidR="002C6E2B">
        <w:t>rer Nachbargemeinden als Urkundsperson gewählt werden.</w:t>
      </w:r>
    </w:p>
    <w:p w:rsidR="002C6E2B" w:rsidRDefault="002C6E2B" w:rsidP="00AD4A87">
      <w:pPr>
        <w:pStyle w:val="Text"/>
      </w:pPr>
    </w:p>
    <w:p w:rsidR="002C6E2B" w:rsidRDefault="002C6E2B" w:rsidP="00AD4A87">
      <w:pPr>
        <w:pStyle w:val="Text"/>
      </w:pPr>
      <w:r>
        <w:t>Das formelle Beurkundungsrecht regelt das Beurkundungsverfahren. Dabei ist zu untersche</w:t>
      </w:r>
      <w:r>
        <w:t>i</w:t>
      </w:r>
      <w:r>
        <w:t>den zwischen dem ordentlichen und dem ausserordentlichen Beurkundungsverfahren. Das o</w:t>
      </w:r>
      <w:r>
        <w:t>r</w:t>
      </w:r>
      <w:r>
        <w:t>dentliche Verfahren zerfällt in ein vorbereitendes und feststellendes Vorverfahren mit der Erfo</w:t>
      </w:r>
      <w:r>
        <w:t>r</w:t>
      </w:r>
      <w:r>
        <w:t>schung des Parteiwillens und der Rechtsbelehrung an die Parteien und ein ausführendes Hauptverfahren mit der Abfassung und öffentlichen Beurkundung des Rechtsgesc</w:t>
      </w:r>
      <w:r w:rsidR="002F4AF8">
        <w:t>h</w:t>
      </w:r>
      <w:r>
        <w:t>äftes. Das ausserordentliche Verfahren muss eingeleitet werden, wenn eine Partei nicht lesen oder schreiben kann oder wenn sie die Urkundensprache nicht kennt. In diesen Fällen müssen für das Beurkundungsverfahren zwei Zeugen bzw. ein Übersetzer zugezogen werden.</w:t>
      </w:r>
    </w:p>
    <w:p w:rsidR="002C6E2B" w:rsidRDefault="002C6E2B" w:rsidP="00AD4A87">
      <w:pPr>
        <w:pStyle w:val="Text"/>
      </w:pPr>
    </w:p>
    <w:p w:rsidR="002C6E2B" w:rsidRDefault="002C6E2B" w:rsidP="002C6E2B">
      <w:pPr>
        <w:pStyle w:val="berschrift1"/>
      </w:pPr>
      <w:bookmarkStart w:id="80" w:name="_Toc404511929"/>
      <w:bookmarkStart w:id="81" w:name="_Toc409600276"/>
      <w:r>
        <w:lastRenderedPageBreak/>
        <w:t>Amtliche Beglaubigung</w:t>
      </w:r>
      <w:bookmarkEnd w:id="80"/>
      <w:bookmarkEnd w:id="81"/>
    </w:p>
    <w:p w:rsidR="00DB117D" w:rsidRDefault="002C6E2B" w:rsidP="00AD4A87">
      <w:pPr>
        <w:pStyle w:val="Text"/>
      </w:pPr>
      <w:r>
        <w:t>Im Kanton Aargau können die</w:t>
      </w:r>
      <w:r w:rsidR="00DB117D">
        <w:t xml:space="preserve"> Urkundspersonen, die </w:t>
      </w:r>
      <w:r>
        <w:t>Gemeindeschreiberinnen und Gemeind</w:t>
      </w:r>
      <w:r>
        <w:t>e</w:t>
      </w:r>
      <w:r>
        <w:t xml:space="preserve">schreiber </w:t>
      </w:r>
      <w:r w:rsidR="00DB117D">
        <w:t>sowie weitere durch Beschluss des Gemeinderates bezeichnete Angestellte der G</w:t>
      </w:r>
      <w:r w:rsidR="00DB117D">
        <w:t>e</w:t>
      </w:r>
      <w:r w:rsidR="00DB117D">
        <w:t>meindeverwaltung Beglaubigungen vornehmen.</w:t>
      </w:r>
    </w:p>
    <w:p w:rsidR="00DB117D" w:rsidRDefault="00DB117D" w:rsidP="00AD4A87">
      <w:pPr>
        <w:pStyle w:val="Text"/>
      </w:pPr>
    </w:p>
    <w:p w:rsidR="002C6E2B" w:rsidRDefault="00DB117D" w:rsidP="00AD4A87">
      <w:pPr>
        <w:pStyle w:val="Text"/>
      </w:pPr>
      <w:r>
        <w:t>Die beglaubigende Person ist bei der Unterschriftenbeglaubigung für die Echtheit der Unte</w:t>
      </w:r>
      <w:r>
        <w:t>r</w:t>
      </w:r>
      <w:r>
        <w:t>schrift und bei der Dokumentenbeglaubigung für die Übereinstimmung der Kopie, Abschrift oder des Auszuges mit dem Original verantwortlich und hat den Amts</w:t>
      </w:r>
      <w:r w:rsidR="00D82520">
        <w:t>s</w:t>
      </w:r>
      <w:r>
        <w:t>tempel anzubringen.</w:t>
      </w:r>
    </w:p>
    <w:p w:rsidR="00DB117D" w:rsidRDefault="00DB117D" w:rsidP="00AD4A87">
      <w:pPr>
        <w:pStyle w:val="Text"/>
      </w:pPr>
    </w:p>
    <w:p w:rsidR="00DB117D" w:rsidRDefault="00DB117D" w:rsidP="00DB117D">
      <w:pPr>
        <w:pStyle w:val="berschrift2"/>
      </w:pPr>
      <w:bookmarkStart w:id="82" w:name="_Toc404511930"/>
      <w:bookmarkStart w:id="83" w:name="_Toc409600277"/>
      <w:r>
        <w:t>Arten der amtlichen Beglaubigung</w:t>
      </w:r>
      <w:bookmarkEnd w:id="82"/>
      <w:bookmarkEnd w:id="83"/>
    </w:p>
    <w:p w:rsidR="00DB117D" w:rsidRDefault="00DB117D" w:rsidP="00DB117D">
      <w:pPr>
        <w:pStyle w:val="Text"/>
        <w:rPr>
          <w:b/>
          <w:bCs/>
        </w:rPr>
      </w:pPr>
      <w:r>
        <w:rPr>
          <w:b/>
          <w:bCs/>
        </w:rPr>
        <w:t>Unterschriftenbeglaubigung</w:t>
      </w:r>
    </w:p>
    <w:p w:rsidR="00DB117D" w:rsidRDefault="00DB117D" w:rsidP="00AD4A87">
      <w:pPr>
        <w:pStyle w:val="Text"/>
      </w:pPr>
      <w:r>
        <w:t>Bescheinigung der Echtheit der Unterschrift. Die Unterschriftenbeglaubigung darf nur erfolgen, wenn die Unterschrift vor der beglaub</w:t>
      </w:r>
      <w:r w:rsidR="00955C29">
        <w:t>ige</w:t>
      </w:r>
      <w:r>
        <w:t>nden Person selber gezeichnet oder wenn sie vom U</w:t>
      </w:r>
      <w:r>
        <w:t>n</w:t>
      </w:r>
      <w:r>
        <w:t>terzeichner persönlich als seine Unterschrift bezeichnet wird. Diese Tatsache</w:t>
      </w:r>
      <w:r w:rsidR="00F52C1C">
        <w:t xml:space="preserve"> muss in der B</w:t>
      </w:r>
      <w:r w:rsidR="00F52C1C">
        <w:t>e</w:t>
      </w:r>
      <w:r w:rsidR="00F52C1C">
        <w:t>glaubigung festgehalten werden. Wenn der Unterzeichnende nicht schreiben kann, erfolgt die Beglaubigung seines Handzeichens.</w:t>
      </w:r>
    </w:p>
    <w:p w:rsidR="00F52C1C" w:rsidRDefault="00F52C1C" w:rsidP="00AD4A87">
      <w:pPr>
        <w:pStyle w:val="Text"/>
      </w:pPr>
    </w:p>
    <w:p w:rsidR="00F52C1C" w:rsidRDefault="00F52C1C" w:rsidP="00F52C1C">
      <w:pPr>
        <w:pStyle w:val="Text"/>
        <w:rPr>
          <w:b/>
          <w:bCs/>
        </w:rPr>
      </w:pPr>
      <w:r>
        <w:rPr>
          <w:b/>
          <w:bCs/>
        </w:rPr>
        <w:t>Beglaubigung von Kopien, Abschriften und Auszügen</w:t>
      </w:r>
    </w:p>
    <w:p w:rsidR="00F52C1C" w:rsidRDefault="00F52C1C" w:rsidP="00AD4A87">
      <w:pPr>
        <w:pStyle w:val="Text"/>
      </w:pPr>
      <w:r>
        <w:t>Bescheinigung der Übereinstimmung mit dem Originaldokument. Dieses muss der Beglaub</w:t>
      </w:r>
      <w:r>
        <w:t>i</w:t>
      </w:r>
      <w:r>
        <w:t>gungsperson vorgelegt werden.</w:t>
      </w:r>
    </w:p>
    <w:p w:rsidR="00F52C1C" w:rsidRPr="00F52C1C" w:rsidRDefault="00F52C1C" w:rsidP="00AD4A87">
      <w:pPr>
        <w:pStyle w:val="Text"/>
      </w:pPr>
    </w:p>
    <w:p w:rsidR="00FB6C87" w:rsidRPr="00FB6C87" w:rsidRDefault="00FB6C87" w:rsidP="00AD4A87">
      <w:pPr>
        <w:pStyle w:val="Text"/>
      </w:pPr>
    </w:p>
    <w:sectPr w:rsidR="00FB6C87" w:rsidRPr="00FB6C87" w:rsidSect="000C0AE7">
      <w:headerReference w:type="default" r:id="rId15"/>
      <w:footerReference w:type="default" r:id="rId1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B0" w:rsidRDefault="00DC30B0">
      <w:r>
        <w:separator/>
      </w:r>
    </w:p>
    <w:p w:rsidR="00DC30B0" w:rsidRDefault="00DC30B0"/>
  </w:endnote>
  <w:endnote w:type="continuationSeparator" w:id="0">
    <w:p w:rsidR="00DC30B0" w:rsidRDefault="00DC30B0">
      <w:r>
        <w:continuationSeparator/>
      </w:r>
    </w:p>
    <w:p w:rsidR="00DC30B0" w:rsidRDefault="00DC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B0" w:rsidRDefault="00DC30B0" w:rsidP="00EE7B72">
    <w:pPr>
      <w:pStyle w:val="Fuzeile"/>
    </w:pPr>
    <w:r>
      <w:fldChar w:fldCharType="begin"/>
    </w:r>
    <w:r>
      <w:instrText xml:space="preserve">PAGE  </w:instrText>
    </w:r>
    <w:r>
      <w:fldChar w:fldCharType="separate"/>
    </w:r>
    <w:r>
      <w:rPr>
        <w:noProof/>
      </w:rPr>
      <w:t>15</w:t>
    </w:r>
    <w:r>
      <w:fldChar w:fldCharType="end"/>
    </w:r>
  </w:p>
  <w:p w:rsidR="00DC30B0" w:rsidRDefault="00DC30B0"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DF2F68" w:rsidRPr="002C5B27" w:rsidTr="00420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DF2F68" w:rsidRPr="002C5B27" w:rsidRDefault="00DF2F68" w:rsidP="00DF2F68">
          <w:pPr>
            <w:pStyle w:val="Fuzeile"/>
            <w:rPr>
              <w:b w:val="0"/>
            </w:rPr>
          </w:pPr>
          <w:r w:rsidRPr="002C5B27">
            <w:rPr>
              <w:b w:val="0"/>
            </w:rPr>
            <w:t xml:space="preserve">Modul </w:t>
          </w:r>
          <w:r>
            <w:rPr>
              <w:b w:val="0"/>
            </w:rPr>
            <w:t>16</w:t>
          </w:r>
        </w:p>
      </w:tc>
      <w:tc>
        <w:tcPr>
          <w:tcW w:w="3250" w:type="dxa"/>
        </w:tcPr>
        <w:p w:rsidR="00DF2F68" w:rsidRPr="002C5B27" w:rsidRDefault="00DF2F68" w:rsidP="00DF2F68">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DF2F68" w:rsidRPr="002C5B27" w:rsidRDefault="00DF2F68" w:rsidP="00DF2F68">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DF2F68" w:rsidRPr="00DF2F68" w:rsidRDefault="00DF2F68">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DC30B0"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DC30B0" w:rsidRPr="002C5B27" w:rsidRDefault="00DC30B0" w:rsidP="008A0225">
          <w:pPr>
            <w:pStyle w:val="Fuzeile"/>
            <w:rPr>
              <w:b w:val="0"/>
            </w:rPr>
          </w:pPr>
          <w:r w:rsidRPr="002C5B27">
            <w:rPr>
              <w:b w:val="0"/>
            </w:rPr>
            <w:t xml:space="preserve">Modul </w:t>
          </w:r>
          <w:r>
            <w:rPr>
              <w:b w:val="0"/>
            </w:rPr>
            <w:t>16</w:t>
          </w:r>
        </w:p>
      </w:tc>
      <w:tc>
        <w:tcPr>
          <w:tcW w:w="3250" w:type="dxa"/>
        </w:tcPr>
        <w:p w:rsidR="00DC30B0" w:rsidRPr="002C5B27" w:rsidRDefault="00DC30B0"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DC30B0" w:rsidRPr="002C5B27" w:rsidRDefault="00DC30B0"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DC30B0" w:rsidRPr="002D363A" w:rsidRDefault="00DC30B0"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DC30B0"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DC30B0" w:rsidRPr="005A6849" w:rsidRDefault="00DC30B0" w:rsidP="009D6E5D">
          <w:pPr>
            <w:pStyle w:val="Fuzeile"/>
            <w:ind w:right="0"/>
            <w:rPr>
              <w:b w:val="0"/>
            </w:rPr>
          </w:pPr>
          <w:r w:rsidRPr="005A6849">
            <w:rPr>
              <w:b w:val="0"/>
            </w:rPr>
            <w:t xml:space="preserve">Modul </w:t>
          </w:r>
          <w:bookmarkStart w:id="84" w:name="Modul16"/>
          <w:r>
            <w:rPr>
              <w:b w:val="0"/>
            </w:rPr>
            <w:t>16</w:t>
          </w:r>
          <w:bookmarkEnd w:id="84"/>
        </w:p>
      </w:tc>
      <w:tc>
        <w:tcPr>
          <w:tcW w:w="3213" w:type="dxa"/>
        </w:tcPr>
        <w:p w:rsidR="00DC30B0" w:rsidRPr="005A6849" w:rsidRDefault="00DC30B0"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w:instrText>
          </w:r>
          <w:r w:rsidR="008074DB">
            <w:rPr>
              <w:b w:val="0"/>
            </w:rPr>
            <w:instrText>6</w:instrText>
          </w:r>
          <w:r w:rsidRPr="005A6849">
            <w:rPr>
              <w:b w:val="0"/>
            </w:rPr>
            <w:instrText xml:space="preserve"> \h  \* MERGEFORMAT </w:instrText>
          </w:r>
          <w:r w:rsidRPr="005A6849">
            <w:fldChar w:fldCharType="separate"/>
          </w:r>
          <w:r w:rsidR="008074DB">
            <w:rPr>
              <w:b w:val="0"/>
            </w:rPr>
            <w:t>16</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323022">
            <w:rPr>
              <w:b w:val="0"/>
              <w:noProof/>
            </w:rPr>
            <w:t>4</w:t>
          </w:r>
          <w:r w:rsidRPr="005A6849">
            <w:fldChar w:fldCharType="end"/>
          </w:r>
        </w:p>
      </w:tc>
      <w:tc>
        <w:tcPr>
          <w:tcW w:w="3201" w:type="dxa"/>
        </w:tcPr>
        <w:p w:rsidR="00DC30B0" w:rsidRPr="005A6849" w:rsidRDefault="00DC30B0"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DC30B0" w:rsidRPr="006A4229" w:rsidRDefault="00DC30B0"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B0" w:rsidRDefault="00DC30B0">
      <w:r>
        <w:separator/>
      </w:r>
    </w:p>
    <w:p w:rsidR="00DC30B0" w:rsidRDefault="00DC30B0"/>
  </w:footnote>
  <w:footnote w:type="continuationSeparator" w:id="0">
    <w:p w:rsidR="00DC30B0" w:rsidRDefault="00DC30B0">
      <w:r>
        <w:continuationSeparator/>
      </w:r>
    </w:p>
    <w:p w:rsidR="00DC30B0" w:rsidRDefault="00DC30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DF2F68" w:rsidRPr="001C23DA" w:rsidTr="00420529">
      <w:tc>
        <w:tcPr>
          <w:tcW w:w="586" w:type="pct"/>
          <w:shd w:val="clear" w:color="auto" w:fill="auto"/>
          <w:vAlign w:val="bottom"/>
        </w:tcPr>
        <w:p w:rsidR="00DF2F68" w:rsidRDefault="00DF2F68" w:rsidP="00DF2F68">
          <w:pPr>
            <w:pStyle w:val="Kopfzeile"/>
            <w:spacing w:after="60"/>
            <w:jc w:val="left"/>
          </w:pPr>
          <w:r>
            <w:rPr>
              <w:noProof/>
              <w:lang w:eastAsia="de-CH"/>
            </w:rPr>
            <w:drawing>
              <wp:inline distT="0" distB="0" distL="0" distR="0" wp14:anchorId="44BAE6C2" wp14:editId="513366C2">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DF2F68" w:rsidRDefault="00DF2F68" w:rsidP="00DF2F68">
          <w:pPr>
            <w:pStyle w:val="Kopfzeile"/>
            <w:spacing w:after="60"/>
            <w:ind w:left="61"/>
            <w:jc w:val="left"/>
          </w:pPr>
        </w:p>
      </w:tc>
      <w:tc>
        <w:tcPr>
          <w:tcW w:w="502" w:type="pct"/>
          <w:shd w:val="clear" w:color="auto" w:fill="auto"/>
          <w:tcMar>
            <w:right w:w="0" w:type="dxa"/>
          </w:tcMar>
          <w:vAlign w:val="bottom"/>
        </w:tcPr>
        <w:p w:rsidR="00DF2F68" w:rsidRDefault="00DF2F68" w:rsidP="00DF2F68">
          <w:pPr>
            <w:pStyle w:val="Kopfzeile"/>
            <w:spacing w:after="60"/>
          </w:pPr>
        </w:p>
      </w:tc>
      <w:tc>
        <w:tcPr>
          <w:tcW w:w="565" w:type="pct"/>
          <w:shd w:val="clear" w:color="auto" w:fill="auto"/>
          <w:vAlign w:val="bottom"/>
        </w:tcPr>
        <w:p w:rsidR="00DF2F68" w:rsidRPr="003465F0" w:rsidRDefault="00DF2F68" w:rsidP="00DF2F68">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8B6774">
            <w:rPr>
              <w:b/>
              <w:color w:val="99CCFF"/>
              <w:sz w:val="60"/>
              <w:szCs w:val="60"/>
            </w:rPr>
            <w:t>16</w:t>
          </w:r>
          <w:r>
            <w:rPr>
              <w:b/>
              <w:color w:val="99CCFF"/>
              <w:sz w:val="60"/>
              <w:szCs w:val="60"/>
            </w:rPr>
            <w:fldChar w:fldCharType="end"/>
          </w:r>
        </w:p>
      </w:tc>
    </w:tr>
  </w:tbl>
  <w:p w:rsidR="00DF2F68" w:rsidRPr="00DF2F68" w:rsidRDefault="00DF2F68">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DC30B0" w:rsidRPr="001C23DA" w:rsidTr="004772D0">
      <w:tc>
        <w:tcPr>
          <w:tcW w:w="586" w:type="pct"/>
          <w:shd w:val="clear" w:color="auto" w:fill="auto"/>
          <w:vAlign w:val="bottom"/>
        </w:tcPr>
        <w:p w:rsidR="00DC30B0" w:rsidRDefault="00DC30B0" w:rsidP="009F3EF7">
          <w:pPr>
            <w:pStyle w:val="Kopfzeile"/>
            <w:spacing w:after="60"/>
            <w:jc w:val="left"/>
          </w:pPr>
          <w:r>
            <w:rPr>
              <w:noProof/>
              <w:lang w:eastAsia="de-CH"/>
            </w:rPr>
            <w:drawing>
              <wp:inline distT="0" distB="0" distL="0" distR="0" wp14:anchorId="113F9E79" wp14:editId="50AF416D">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DC30B0" w:rsidRDefault="00DC30B0" w:rsidP="005B1965">
          <w:pPr>
            <w:pStyle w:val="Kopfzeile"/>
            <w:spacing w:after="60"/>
            <w:ind w:left="61"/>
            <w:jc w:val="left"/>
          </w:pPr>
        </w:p>
      </w:tc>
      <w:tc>
        <w:tcPr>
          <w:tcW w:w="502" w:type="pct"/>
          <w:shd w:val="clear" w:color="auto" w:fill="auto"/>
          <w:tcMar>
            <w:right w:w="0" w:type="dxa"/>
          </w:tcMar>
          <w:vAlign w:val="bottom"/>
        </w:tcPr>
        <w:p w:rsidR="00DC30B0" w:rsidRDefault="00DC30B0" w:rsidP="009F3EF7">
          <w:pPr>
            <w:pStyle w:val="Kopfzeile"/>
            <w:spacing w:after="60"/>
          </w:pPr>
        </w:p>
      </w:tc>
      <w:tc>
        <w:tcPr>
          <w:tcW w:w="565" w:type="pct"/>
          <w:shd w:val="clear" w:color="auto" w:fill="auto"/>
          <w:vAlign w:val="bottom"/>
        </w:tcPr>
        <w:p w:rsidR="00DC30B0" w:rsidRPr="003465F0" w:rsidRDefault="008B6774" w:rsidP="008B6774">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8B6774">
            <w:rPr>
              <w:b/>
              <w:color w:val="99CCFF"/>
              <w:sz w:val="60"/>
              <w:szCs w:val="60"/>
            </w:rPr>
            <w:t>16</w:t>
          </w:r>
          <w:r>
            <w:rPr>
              <w:b/>
              <w:color w:val="99CCFF"/>
              <w:sz w:val="60"/>
              <w:szCs w:val="60"/>
            </w:rPr>
            <w:fldChar w:fldCharType="end"/>
          </w:r>
        </w:p>
      </w:tc>
    </w:tr>
  </w:tbl>
  <w:p w:rsidR="00DC30B0" w:rsidRPr="00EB63A3" w:rsidRDefault="00DC30B0"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DC30B0" w:rsidRPr="001C23DA" w:rsidTr="004772D0">
      <w:tc>
        <w:tcPr>
          <w:tcW w:w="586" w:type="pct"/>
          <w:shd w:val="clear" w:color="auto" w:fill="auto"/>
          <w:vAlign w:val="bottom"/>
        </w:tcPr>
        <w:p w:rsidR="00DC30B0" w:rsidRDefault="00DC30B0" w:rsidP="009F3EF7">
          <w:pPr>
            <w:pStyle w:val="Kopfzeile"/>
            <w:spacing w:after="60"/>
            <w:jc w:val="left"/>
          </w:pPr>
          <w:r>
            <w:rPr>
              <w:noProof/>
              <w:lang w:eastAsia="de-CH"/>
            </w:rPr>
            <w:drawing>
              <wp:inline distT="0" distB="0" distL="0" distR="0" wp14:anchorId="4885EBA1" wp14:editId="54AD4AB7">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DC30B0" w:rsidRDefault="00DC30B0" w:rsidP="008F03A9">
          <w:pPr>
            <w:pStyle w:val="Kopfzeile"/>
          </w:pPr>
        </w:p>
      </w:tc>
      <w:tc>
        <w:tcPr>
          <w:tcW w:w="502" w:type="pct"/>
          <w:shd w:val="clear" w:color="auto" w:fill="auto"/>
          <w:tcMar>
            <w:right w:w="0" w:type="dxa"/>
          </w:tcMar>
          <w:vAlign w:val="bottom"/>
        </w:tcPr>
        <w:p w:rsidR="00DC30B0" w:rsidRDefault="00DC30B0" w:rsidP="009F3EF7">
          <w:pPr>
            <w:pStyle w:val="Kopfzeile"/>
            <w:spacing w:after="60"/>
          </w:pPr>
        </w:p>
      </w:tc>
      <w:tc>
        <w:tcPr>
          <w:tcW w:w="565" w:type="pct"/>
          <w:shd w:val="clear" w:color="auto" w:fill="auto"/>
          <w:vAlign w:val="bottom"/>
        </w:tcPr>
        <w:p w:rsidR="00DC30B0" w:rsidRPr="003465F0" w:rsidRDefault="008B6774"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8B6774">
            <w:rPr>
              <w:b/>
              <w:color w:val="99CCFF"/>
              <w:sz w:val="60"/>
              <w:szCs w:val="60"/>
            </w:rPr>
            <w:t>16</w:t>
          </w:r>
          <w:r>
            <w:rPr>
              <w:b/>
              <w:color w:val="99CCFF"/>
              <w:sz w:val="60"/>
              <w:szCs w:val="60"/>
            </w:rPr>
            <w:fldChar w:fldCharType="end"/>
          </w:r>
        </w:p>
      </w:tc>
    </w:tr>
  </w:tbl>
  <w:p w:rsidR="00DC30B0" w:rsidRPr="00EB63A3" w:rsidRDefault="00DC30B0"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CDA4C2B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2">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1153F4"/>
    <w:multiLevelType w:val="multilevel"/>
    <w:tmpl w:val="C1A0ABEE"/>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4"/>
  </w:num>
  <w:num w:numId="23">
    <w:abstractNumId w:val="15"/>
  </w:num>
  <w:num w:numId="24">
    <w:abstractNumId w:val="13"/>
  </w:num>
  <w:num w:numId="25">
    <w:abstractNumId w:val="12"/>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1"/>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8"/>
    <w:lvlOverride w:ilvl="0">
      <w:startOverride w:val="1"/>
    </w:lvlOverride>
  </w:num>
  <w:num w:numId="35">
    <w:abstractNumId w:val="8"/>
  </w:num>
  <w:num w:numId="36">
    <w:abstractNumId w:val="8"/>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0D"/>
    <w:rsid w:val="000016A9"/>
    <w:rsid w:val="000041F0"/>
    <w:rsid w:val="000054EB"/>
    <w:rsid w:val="00016366"/>
    <w:rsid w:val="00026A0B"/>
    <w:rsid w:val="000331C3"/>
    <w:rsid w:val="00035DFD"/>
    <w:rsid w:val="00036D1F"/>
    <w:rsid w:val="0004743B"/>
    <w:rsid w:val="000478E5"/>
    <w:rsid w:val="00055471"/>
    <w:rsid w:val="000559A3"/>
    <w:rsid w:val="00055ADA"/>
    <w:rsid w:val="000613F0"/>
    <w:rsid w:val="0006217F"/>
    <w:rsid w:val="0006548E"/>
    <w:rsid w:val="00072AE5"/>
    <w:rsid w:val="000735E9"/>
    <w:rsid w:val="000768FD"/>
    <w:rsid w:val="00077D28"/>
    <w:rsid w:val="00084744"/>
    <w:rsid w:val="0009270C"/>
    <w:rsid w:val="000A5811"/>
    <w:rsid w:val="000B1692"/>
    <w:rsid w:val="000B4BC4"/>
    <w:rsid w:val="000C0A91"/>
    <w:rsid w:val="000C0AE7"/>
    <w:rsid w:val="000C110A"/>
    <w:rsid w:val="000D70A0"/>
    <w:rsid w:val="000E2EC5"/>
    <w:rsid w:val="001050DD"/>
    <w:rsid w:val="00112260"/>
    <w:rsid w:val="00112F11"/>
    <w:rsid w:val="001300E8"/>
    <w:rsid w:val="001315C9"/>
    <w:rsid w:val="00137CFB"/>
    <w:rsid w:val="00141C19"/>
    <w:rsid w:val="00142D77"/>
    <w:rsid w:val="0014715E"/>
    <w:rsid w:val="00150577"/>
    <w:rsid w:val="001523C8"/>
    <w:rsid w:val="00156706"/>
    <w:rsid w:val="00156A08"/>
    <w:rsid w:val="001578B7"/>
    <w:rsid w:val="001700C1"/>
    <w:rsid w:val="00177633"/>
    <w:rsid w:val="00180AA5"/>
    <w:rsid w:val="00181DA4"/>
    <w:rsid w:val="00190994"/>
    <w:rsid w:val="00191D3C"/>
    <w:rsid w:val="0019541B"/>
    <w:rsid w:val="00196A43"/>
    <w:rsid w:val="00197728"/>
    <w:rsid w:val="001A3F0C"/>
    <w:rsid w:val="001A5978"/>
    <w:rsid w:val="001A59C9"/>
    <w:rsid w:val="001A61D5"/>
    <w:rsid w:val="001B25AD"/>
    <w:rsid w:val="001B4E94"/>
    <w:rsid w:val="001B6B61"/>
    <w:rsid w:val="001C020A"/>
    <w:rsid w:val="001C23DA"/>
    <w:rsid w:val="001C2F66"/>
    <w:rsid w:val="001C7697"/>
    <w:rsid w:val="001F1126"/>
    <w:rsid w:val="001F1E15"/>
    <w:rsid w:val="001F5670"/>
    <w:rsid w:val="00203177"/>
    <w:rsid w:val="00211140"/>
    <w:rsid w:val="002260AB"/>
    <w:rsid w:val="00226569"/>
    <w:rsid w:val="00233ED6"/>
    <w:rsid w:val="00244D49"/>
    <w:rsid w:val="00253C33"/>
    <w:rsid w:val="00255BB8"/>
    <w:rsid w:val="00255D71"/>
    <w:rsid w:val="00262B5E"/>
    <w:rsid w:val="0026568D"/>
    <w:rsid w:val="0027480D"/>
    <w:rsid w:val="0027730F"/>
    <w:rsid w:val="00280E8E"/>
    <w:rsid w:val="002828C3"/>
    <w:rsid w:val="0028336F"/>
    <w:rsid w:val="0029117E"/>
    <w:rsid w:val="00291E91"/>
    <w:rsid w:val="002921AD"/>
    <w:rsid w:val="0029498C"/>
    <w:rsid w:val="002A2CE9"/>
    <w:rsid w:val="002C1BA8"/>
    <w:rsid w:val="002C48DB"/>
    <w:rsid w:val="002C4D5E"/>
    <w:rsid w:val="002C5B27"/>
    <w:rsid w:val="002C6E2B"/>
    <w:rsid w:val="002D363A"/>
    <w:rsid w:val="002D456E"/>
    <w:rsid w:val="002D5BE6"/>
    <w:rsid w:val="002D64E6"/>
    <w:rsid w:val="002E423F"/>
    <w:rsid w:val="002F2112"/>
    <w:rsid w:val="002F4AF8"/>
    <w:rsid w:val="00303CD3"/>
    <w:rsid w:val="00304CBF"/>
    <w:rsid w:val="003063AB"/>
    <w:rsid w:val="00323022"/>
    <w:rsid w:val="00323644"/>
    <w:rsid w:val="00324325"/>
    <w:rsid w:val="00324A39"/>
    <w:rsid w:val="00334F39"/>
    <w:rsid w:val="00341E49"/>
    <w:rsid w:val="003453E5"/>
    <w:rsid w:val="003465F0"/>
    <w:rsid w:val="00346923"/>
    <w:rsid w:val="0035566F"/>
    <w:rsid w:val="00360D38"/>
    <w:rsid w:val="003854B8"/>
    <w:rsid w:val="00393E1A"/>
    <w:rsid w:val="003A2E68"/>
    <w:rsid w:val="003B0D95"/>
    <w:rsid w:val="003C0264"/>
    <w:rsid w:val="003C1893"/>
    <w:rsid w:val="003C298A"/>
    <w:rsid w:val="003C4902"/>
    <w:rsid w:val="003D4B0C"/>
    <w:rsid w:val="003D73FB"/>
    <w:rsid w:val="003E353D"/>
    <w:rsid w:val="003E42B3"/>
    <w:rsid w:val="003F515C"/>
    <w:rsid w:val="003F7CB2"/>
    <w:rsid w:val="00401C8C"/>
    <w:rsid w:val="00412296"/>
    <w:rsid w:val="00414EE3"/>
    <w:rsid w:val="00437504"/>
    <w:rsid w:val="004657B5"/>
    <w:rsid w:val="00466D0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4D0F"/>
    <w:rsid w:val="004B5722"/>
    <w:rsid w:val="004D12A4"/>
    <w:rsid w:val="004D3F9E"/>
    <w:rsid w:val="004D6424"/>
    <w:rsid w:val="004D7819"/>
    <w:rsid w:val="004D78CE"/>
    <w:rsid w:val="004E21F2"/>
    <w:rsid w:val="004F0AFB"/>
    <w:rsid w:val="005007BC"/>
    <w:rsid w:val="00516C72"/>
    <w:rsid w:val="005210D8"/>
    <w:rsid w:val="00521730"/>
    <w:rsid w:val="00526722"/>
    <w:rsid w:val="00531B1D"/>
    <w:rsid w:val="005331FC"/>
    <w:rsid w:val="005350DD"/>
    <w:rsid w:val="005353D5"/>
    <w:rsid w:val="005355A2"/>
    <w:rsid w:val="00537596"/>
    <w:rsid w:val="00552697"/>
    <w:rsid w:val="005637CF"/>
    <w:rsid w:val="0057406C"/>
    <w:rsid w:val="00574FFC"/>
    <w:rsid w:val="00581D01"/>
    <w:rsid w:val="00586DB1"/>
    <w:rsid w:val="00590C25"/>
    <w:rsid w:val="0059183C"/>
    <w:rsid w:val="00597C2B"/>
    <w:rsid w:val="005A6849"/>
    <w:rsid w:val="005B1914"/>
    <w:rsid w:val="005B1965"/>
    <w:rsid w:val="005B7B52"/>
    <w:rsid w:val="005C6136"/>
    <w:rsid w:val="005D16B8"/>
    <w:rsid w:val="005D3F45"/>
    <w:rsid w:val="005D54C5"/>
    <w:rsid w:val="005D634C"/>
    <w:rsid w:val="005E3518"/>
    <w:rsid w:val="005F327C"/>
    <w:rsid w:val="005F41E3"/>
    <w:rsid w:val="005F6551"/>
    <w:rsid w:val="006052BE"/>
    <w:rsid w:val="00616425"/>
    <w:rsid w:val="00616A90"/>
    <w:rsid w:val="00624FC2"/>
    <w:rsid w:val="00625BE5"/>
    <w:rsid w:val="00627E6B"/>
    <w:rsid w:val="006304F5"/>
    <w:rsid w:val="006327FF"/>
    <w:rsid w:val="00632A2C"/>
    <w:rsid w:val="006378D9"/>
    <w:rsid w:val="00637CD6"/>
    <w:rsid w:val="00646FD5"/>
    <w:rsid w:val="00651378"/>
    <w:rsid w:val="0065411F"/>
    <w:rsid w:val="006662AF"/>
    <w:rsid w:val="00666DB8"/>
    <w:rsid w:val="00683A5B"/>
    <w:rsid w:val="00695574"/>
    <w:rsid w:val="00696A14"/>
    <w:rsid w:val="0069718B"/>
    <w:rsid w:val="00697254"/>
    <w:rsid w:val="006A2EE3"/>
    <w:rsid w:val="006A4229"/>
    <w:rsid w:val="006B0BD6"/>
    <w:rsid w:val="006C0215"/>
    <w:rsid w:val="006D3FD0"/>
    <w:rsid w:val="006E3718"/>
    <w:rsid w:val="006E57E3"/>
    <w:rsid w:val="006F05AB"/>
    <w:rsid w:val="006F64A8"/>
    <w:rsid w:val="00701CA9"/>
    <w:rsid w:val="00703AA6"/>
    <w:rsid w:val="00715357"/>
    <w:rsid w:val="007211F8"/>
    <w:rsid w:val="00721AA4"/>
    <w:rsid w:val="00722A1B"/>
    <w:rsid w:val="00724583"/>
    <w:rsid w:val="007255DB"/>
    <w:rsid w:val="007270EA"/>
    <w:rsid w:val="007273EC"/>
    <w:rsid w:val="00734D62"/>
    <w:rsid w:val="007409CD"/>
    <w:rsid w:val="0074206A"/>
    <w:rsid w:val="00746294"/>
    <w:rsid w:val="0074677D"/>
    <w:rsid w:val="00747386"/>
    <w:rsid w:val="00772A42"/>
    <w:rsid w:val="0077544D"/>
    <w:rsid w:val="007758F2"/>
    <w:rsid w:val="00776581"/>
    <w:rsid w:val="007838FD"/>
    <w:rsid w:val="007914A0"/>
    <w:rsid w:val="007956EB"/>
    <w:rsid w:val="007A10D5"/>
    <w:rsid w:val="007B29AB"/>
    <w:rsid w:val="007C14D6"/>
    <w:rsid w:val="007C38B3"/>
    <w:rsid w:val="007C3DC6"/>
    <w:rsid w:val="007D3C03"/>
    <w:rsid w:val="007D49B4"/>
    <w:rsid w:val="007E47E2"/>
    <w:rsid w:val="007E7AA8"/>
    <w:rsid w:val="007F21A1"/>
    <w:rsid w:val="007F3294"/>
    <w:rsid w:val="007F5AC6"/>
    <w:rsid w:val="007F6DE8"/>
    <w:rsid w:val="008074DB"/>
    <w:rsid w:val="00807A9B"/>
    <w:rsid w:val="00811341"/>
    <w:rsid w:val="008121B4"/>
    <w:rsid w:val="0081548F"/>
    <w:rsid w:val="00816BA2"/>
    <w:rsid w:val="00816D21"/>
    <w:rsid w:val="008247B3"/>
    <w:rsid w:val="008308FB"/>
    <w:rsid w:val="0083155A"/>
    <w:rsid w:val="00832ABC"/>
    <w:rsid w:val="0084241B"/>
    <w:rsid w:val="00844916"/>
    <w:rsid w:val="00844FBC"/>
    <w:rsid w:val="008470FB"/>
    <w:rsid w:val="00853815"/>
    <w:rsid w:val="00853E66"/>
    <w:rsid w:val="008579F4"/>
    <w:rsid w:val="00860CD3"/>
    <w:rsid w:val="008638CF"/>
    <w:rsid w:val="008706A7"/>
    <w:rsid w:val="00874C7C"/>
    <w:rsid w:val="00875C8B"/>
    <w:rsid w:val="00877AA7"/>
    <w:rsid w:val="00886931"/>
    <w:rsid w:val="008872E8"/>
    <w:rsid w:val="008902C9"/>
    <w:rsid w:val="008A0225"/>
    <w:rsid w:val="008B111D"/>
    <w:rsid w:val="008B2BF0"/>
    <w:rsid w:val="008B3756"/>
    <w:rsid w:val="008B6774"/>
    <w:rsid w:val="008C07EA"/>
    <w:rsid w:val="008C6534"/>
    <w:rsid w:val="008D591F"/>
    <w:rsid w:val="008D7F32"/>
    <w:rsid w:val="008E01F0"/>
    <w:rsid w:val="008E1339"/>
    <w:rsid w:val="008E297F"/>
    <w:rsid w:val="008F03A9"/>
    <w:rsid w:val="008F2103"/>
    <w:rsid w:val="008F7D0E"/>
    <w:rsid w:val="00901BE4"/>
    <w:rsid w:val="00902211"/>
    <w:rsid w:val="009031E9"/>
    <w:rsid w:val="00904A6B"/>
    <w:rsid w:val="00917E28"/>
    <w:rsid w:val="00921D28"/>
    <w:rsid w:val="00932C66"/>
    <w:rsid w:val="00933576"/>
    <w:rsid w:val="009359B3"/>
    <w:rsid w:val="009515CA"/>
    <w:rsid w:val="00955C29"/>
    <w:rsid w:val="00956501"/>
    <w:rsid w:val="00960F37"/>
    <w:rsid w:val="0096565C"/>
    <w:rsid w:val="00967560"/>
    <w:rsid w:val="00967C0C"/>
    <w:rsid w:val="009718AF"/>
    <w:rsid w:val="0097484B"/>
    <w:rsid w:val="00995D8D"/>
    <w:rsid w:val="009A23F7"/>
    <w:rsid w:val="009B4D8D"/>
    <w:rsid w:val="009C16A8"/>
    <w:rsid w:val="009D2950"/>
    <w:rsid w:val="009D3422"/>
    <w:rsid w:val="009D3721"/>
    <w:rsid w:val="009D52D0"/>
    <w:rsid w:val="009D6E5D"/>
    <w:rsid w:val="009E50F6"/>
    <w:rsid w:val="009F393C"/>
    <w:rsid w:val="009F3EF7"/>
    <w:rsid w:val="00A17FFA"/>
    <w:rsid w:val="00A3138D"/>
    <w:rsid w:val="00A36A7E"/>
    <w:rsid w:val="00A5295A"/>
    <w:rsid w:val="00A54D75"/>
    <w:rsid w:val="00A60755"/>
    <w:rsid w:val="00A60BB1"/>
    <w:rsid w:val="00A74D09"/>
    <w:rsid w:val="00A76790"/>
    <w:rsid w:val="00A93078"/>
    <w:rsid w:val="00A93BFC"/>
    <w:rsid w:val="00A97294"/>
    <w:rsid w:val="00A978AF"/>
    <w:rsid w:val="00A97A25"/>
    <w:rsid w:val="00AB1564"/>
    <w:rsid w:val="00AC09DA"/>
    <w:rsid w:val="00AC7537"/>
    <w:rsid w:val="00AD4A87"/>
    <w:rsid w:val="00AD5707"/>
    <w:rsid w:val="00AE405C"/>
    <w:rsid w:val="00AE6685"/>
    <w:rsid w:val="00AF3FC7"/>
    <w:rsid w:val="00B04D4E"/>
    <w:rsid w:val="00B21B08"/>
    <w:rsid w:val="00B22502"/>
    <w:rsid w:val="00B27EDC"/>
    <w:rsid w:val="00B34194"/>
    <w:rsid w:val="00B53BAD"/>
    <w:rsid w:val="00B54061"/>
    <w:rsid w:val="00B57A42"/>
    <w:rsid w:val="00B61EF5"/>
    <w:rsid w:val="00B72E54"/>
    <w:rsid w:val="00B7324F"/>
    <w:rsid w:val="00B749CD"/>
    <w:rsid w:val="00B759E3"/>
    <w:rsid w:val="00B877DC"/>
    <w:rsid w:val="00BA53F4"/>
    <w:rsid w:val="00BA610B"/>
    <w:rsid w:val="00BB03FC"/>
    <w:rsid w:val="00BB487A"/>
    <w:rsid w:val="00BC39E7"/>
    <w:rsid w:val="00BC6E21"/>
    <w:rsid w:val="00BD4955"/>
    <w:rsid w:val="00BE5B7D"/>
    <w:rsid w:val="00BF0A71"/>
    <w:rsid w:val="00BF224E"/>
    <w:rsid w:val="00BF31F6"/>
    <w:rsid w:val="00BF57AF"/>
    <w:rsid w:val="00C00E81"/>
    <w:rsid w:val="00C03EC6"/>
    <w:rsid w:val="00C064B7"/>
    <w:rsid w:val="00C2270D"/>
    <w:rsid w:val="00C26AC7"/>
    <w:rsid w:val="00C26FC0"/>
    <w:rsid w:val="00C351CD"/>
    <w:rsid w:val="00C35473"/>
    <w:rsid w:val="00C4277A"/>
    <w:rsid w:val="00C432E1"/>
    <w:rsid w:val="00C4362C"/>
    <w:rsid w:val="00C47419"/>
    <w:rsid w:val="00C50501"/>
    <w:rsid w:val="00C518B6"/>
    <w:rsid w:val="00C56F80"/>
    <w:rsid w:val="00C6787F"/>
    <w:rsid w:val="00C67FE8"/>
    <w:rsid w:val="00C847C3"/>
    <w:rsid w:val="00C925C7"/>
    <w:rsid w:val="00C9757E"/>
    <w:rsid w:val="00CA16E7"/>
    <w:rsid w:val="00CA2E4C"/>
    <w:rsid w:val="00CB604B"/>
    <w:rsid w:val="00CB64BB"/>
    <w:rsid w:val="00CC6B8E"/>
    <w:rsid w:val="00CD0E25"/>
    <w:rsid w:val="00CD6467"/>
    <w:rsid w:val="00CE1A25"/>
    <w:rsid w:val="00CE2E6B"/>
    <w:rsid w:val="00CE789C"/>
    <w:rsid w:val="00CE7A7C"/>
    <w:rsid w:val="00D026E4"/>
    <w:rsid w:val="00D0372D"/>
    <w:rsid w:val="00D04D2D"/>
    <w:rsid w:val="00D05444"/>
    <w:rsid w:val="00D10776"/>
    <w:rsid w:val="00D1178D"/>
    <w:rsid w:val="00D118CC"/>
    <w:rsid w:val="00D2242A"/>
    <w:rsid w:val="00D23FAF"/>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520"/>
    <w:rsid w:val="00D82F74"/>
    <w:rsid w:val="00D8616A"/>
    <w:rsid w:val="00D87CA8"/>
    <w:rsid w:val="00D87FC1"/>
    <w:rsid w:val="00D95CA8"/>
    <w:rsid w:val="00D96812"/>
    <w:rsid w:val="00D97B8D"/>
    <w:rsid w:val="00DA680F"/>
    <w:rsid w:val="00DB117D"/>
    <w:rsid w:val="00DB6E36"/>
    <w:rsid w:val="00DC30B0"/>
    <w:rsid w:val="00DC4CC3"/>
    <w:rsid w:val="00DC716C"/>
    <w:rsid w:val="00DE1FE9"/>
    <w:rsid w:val="00DE446A"/>
    <w:rsid w:val="00DE6063"/>
    <w:rsid w:val="00DF0A52"/>
    <w:rsid w:val="00DF2F68"/>
    <w:rsid w:val="00DF7210"/>
    <w:rsid w:val="00E2055A"/>
    <w:rsid w:val="00E24543"/>
    <w:rsid w:val="00E466C2"/>
    <w:rsid w:val="00E50E7F"/>
    <w:rsid w:val="00E550F3"/>
    <w:rsid w:val="00E57A67"/>
    <w:rsid w:val="00E70A80"/>
    <w:rsid w:val="00E76D4A"/>
    <w:rsid w:val="00E77537"/>
    <w:rsid w:val="00E85CFB"/>
    <w:rsid w:val="00E862F8"/>
    <w:rsid w:val="00EA43E6"/>
    <w:rsid w:val="00EB48FB"/>
    <w:rsid w:val="00EB63A3"/>
    <w:rsid w:val="00EC35F8"/>
    <w:rsid w:val="00ED62EC"/>
    <w:rsid w:val="00ED7414"/>
    <w:rsid w:val="00EE1345"/>
    <w:rsid w:val="00EE21E6"/>
    <w:rsid w:val="00EE28A8"/>
    <w:rsid w:val="00EE7B72"/>
    <w:rsid w:val="00EF4DD6"/>
    <w:rsid w:val="00F01292"/>
    <w:rsid w:val="00F02D39"/>
    <w:rsid w:val="00F066F9"/>
    <w:rsid w:val="00F4061E"/>
    <w:rsid w:val="00F46BD1"/>
    <w:rsid w:val="00F52C1C"/>
    <w:rsid w:val="00F60125"/>
    <w:rsid w:val="00F67E21"/>
    <w:rsid w:val="00F72BDA"/>
    <w:rsid w:val="00F73D60"/>
    <w:rsid w:val="00F74B12"/>
    <w:rsid w:val="00F75B69"/>
    <w:rsid w:val="00F82CB3"/>
    <w:rsid w:val="00F86A15"/>
    <w:rsid w:val="00F86F31"/>
    <w:rsid w:val="00F87E0E"/>
    <w:rsid w:val="00FA0C2F"/>
    <w:rsid w:val="00FB6C87"/>
    <w:rsid w:val="00FD2A2A"/>
    <w:rsid w:val="00FD5EEF"/>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DE1FE9"/>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041F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041F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3B0D95"/>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3B0D95"/>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0041F0"/>
    <w:pPr>
      <w:keepLines/>
      <w:numPr>
        <w:numId w:val="37"/>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041F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14715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B0D95"/>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3B0D95"/>
    <w:pPr>
      <w:spacing w:before="120" w:after="240"/>
      <w:ind w:left="1134"/>
      <w:jc w:val="both"/>
    </w:pPr>
    <w:rPr>
      <w:bCs/>
      <w:sz w:val="18"/>
      <w:szCs w:val="18"/>
    </w:rPr>
  </w:style>
  <w:style w:type="paragraph" w:customStyle="1" w:styleId="Informationen">
    <w:name w:val="Informationen"/>
    <w:basedOn w:val="Text"/>
    <w:rsid w:val="000041F0"/>
    <w:pPr>
      <w:spacing w:before="400" w:after="400"/>
    </w:pPr>
    <w:rPr>
      <w:b/>
      <w:bCs/>
      <w:sz w:val="28"/>
      <w:szCs w:val="20"/>
    </w:rPr>
  </w:style>
  <w:style w:type="paragraph" w:customStyle="1" w:styleId="Informationen1">
    <w:name w:val="Informationen_1"/>
    <w:basedOn w:val="Informationen"/>
    <w:next w:val="Informationen"/>
    <w:qFormat/>
    <w:rsid w:val="000041F0"/>
    <w:pPr>
      <w:spacing w:before="0"/>
    </w:pPr>
    <w:rPr>
      <w:sz w:val="32"/>
    </w:rPr>
  </w:style>
  <w:style w:type="paragraph" w:styleId="Untertitel">
    <w:name w:val="Subtitle"/>
    <w:basedOn w:val="Text"/>
    <w:next w:val="Standard"/>
    <w:link w:val="UntertitelZchn"/>
    <w:semiHidden/>
    <w:qFormat/>
    <w:rsid w:val="000041F0"/>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14715E"/>
    <w:rPr>
      <w:rFonts w:ascii="Arial" w:eastAsiaTheme="minorEastAsia" w:hAnsi="Arial" w:cstheme="minorBidi"/>
      <w:sz w:val="56"/>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DE1FE9"/>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041F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041F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3B0D95"/>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3B0D95"/>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0041F0"/>
    <w:pPr>
      <w:keepLines/>
      <w:numPr>
        <w:numId w:val="37"/>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041F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14715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B0D95"/>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3B0D95"/>
    <w:pPr>
      <w:spacing w:before="120" w:after="240"/>
      <w:ind w:left="1134"/>
      <w:jc w:val="both"/>
    </w:pPr>
    <w:rPr>
      <w:bCs/>
      <w:sz w:val="18"/>
      <w:szCs w:val="18"/>
    </w:rPr>
  </w:style>
  <w:style w:type="paragraph" w:customStyle="1" w:styleId="Informationen">
    <w:name w:val="Informationen"/>
    <w:basedOn w:val="Text"/>
    <w:rsid w:val="000041F0"/>
    <w:pPr>
      <w:spacing w:before="400" w:after="400"/>
    </w:pPr>
    <w:rPr>
      <w:b/>
      <w:bCs/>
      <w:sz w:val="28"/>
      <w:szCs w:val="20"/>
    </w:rPr>
  </w:style>
  <w:style w:type="paragraph" w:customStyle="1" w:styleId="Informationen1">
    <w:name w:val="Informationen_1"/>
    <w:basedOn w:val="Informationen"/>
    <w:next w:val="Informationen"/>
    <w:qFormat/>
    <w:rsid w:val="000041F0"/>
    <w:pPr>
      <w:spacing w:before="0"/>
    </w:pPr>
    <w:rPr>
      <w:sz w:val="32"/>
    </w:rPr>
  </w:style>
  <w:style w:type="paragraph" w:styleId="Untertitel">
    <w:name w:val="Subtitle"/>
    <w:basedOn w:val="Text"/>
    <w:next w:val="Standard"/>
    <w:link w:val="UntertitelZchn"/>
    <w:semiHidden/>
    <w:qFormat/>
    <w:rsid w:val="000041F0"/>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14715E"/>
    <w:rPr>
      <w:rFonts w:ascii="Arial" w:eastAsiaTheme="minorEastAsia" w:hAnsi="Arial" w:cstheme="minorBidi"/>
      <w:sz w:val="56"/>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pferdchen\Documents\&#220;K-Lehrmitte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8FD012B5454D4DADA47F9DE5C3B4CA"/>
        <w:category>
          <w:name w:val="Allgemein"/>
          <w:gallery w:val="placeholder"/>
        </w:category>
        <w:types>
          <w:type w:val="bbPlcHdr"/>
        </w:types>
        <w:behaviors>
          <w:behavior w:val="content"/>
        </w:behaviors>
        <w:guid w:val="{5E696C5A-37AD-464B-84E4-E5340B2212EC}"/>
      </w:docPartPr>
      <w:docPartBody>
        <w:p w:rsidR="00817F50" w:rsidRDefault="00CE60CF">
          <w:pPr>
            <w:pStyle w:val="BC8FD012B5454D4DADA47F9DE5C3B4CA"/>
          </w:pPr>
          <w:r w:rsidRPr="007173E3">
            <w:rPr>
              <w:rStyle w:val="Platzhaltertext"/>
            </w:rPr>
            <w:t>Klicken Sie hier, um Text einzugeben.</w:t>
          </w:r>
        </w:p>
      </w:docPartBody>
    </w:docPart>
    <w:docPart>
      <w:docPartPr>
        <w:name w:val="310958EA11774FEAB099E4B306EAFDA2"/>
        <w:category>
          <w:name w:val="Allgemein"/>
          <w:gallery w:val="placeholder"/>
        </w:category>
        <w:types>
          <w:type w:val="bbPlcHdr"/>
        </w:types>
        <w:behaviors>
          <w:behavior w:val="content"/>
        </w:behaviors>
        <w:guid w:val="{2BB090F2-D918-4EA0-B44C-846257A46128}"/>
      </w:docPartPr>
      <w:docPartBody>
        <w:p w:rsidR="00817F50" w:rsidRDefault="00CE60CF">
          <w:pPr>
            <w:pStyle w:val="310958EA11774FEAB099E4B306EAFDA2"/>
          </w:pPr>
          <w:r>
            <w:t>Untertitel</w:t>
          </w:r>
        </w:p>
      </w:docPartBody>
    </w:docPart>
    <w:docPart>
      <w:docPartPr>
        <w:name w:val="C0E6EF06C6A64BC7800D9A5E7C9D71AC"/>
        <w:category>
          <w:name w:val="Allgemein"/>
          <w:gallery w:val="placeholder"/>
        </w:category>
        <w:types>
          <w:type w:val="bbPlcHdr"/>
        </w:types>
        <w:behaviors>
          <w:behavior w:val="content"/>
        </w:behaviors>
        <w:guid w:val="{A35558B9-B336-4044-A745-DE220203AEB4}"/>
      </w:docPartPr>
      <w:docPartBody>
        <w:p w:rsidR="00817F50" w:rsidRDefault="00CE60CF">
          <w:pPr>
            <w:pStyle w:val="C0E6EF06C6A64BC7800D9A5E7C9D71AC"/>
          </w:pPr>
          <w:r w:rsidRPr="00D51EED">
            <w:rPr>
              <w:rStyle w:val="Platzhaltertext"/>
              <w:lang w:val="en-GB"/>
            </w:rPr>
            <w:t>Name des Urhebers</w:t>
          </w:r>
        </w:p>
      </w:docPartBody>
    </w:docPart>
    <w:docPart>
      <w:docPartPr>
        <w:name w:val="0F720AAC0F18485C97D7B6BAC314DF47"/>
        <w:category>
          <w:name w:val="Allgemein"/>
          <w:gallery w:val="placeholder"/>
        </w:category>
        <w:types>
          <w:type w:val="bbPlcHdr"/>
        </w:types>
        <w:behaviors>
          <w:behavior w:val="content"/>
        </w:behaviors>
        <w:guid w:val="{FE9DF677-6844-4114-B0AA-54BDA9C5D252}"/>
      </w:docPartPr>
      <w:docPartBody>
        <w:p w:rsidR="00817F50" w:rsidRDefault="00CE60CF">
          <w:pPr>
            <w:pStyle w:val="0F720AAC0F18485C97D7B6BAC314DF47"/>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CF"/>
    <w:rsid w:val="005C5B93"/>
    <w:rsid w:val="006920C1"/>
    <w:rsid w:val="00817F50"/>
    <w:rsid w:val="00955E0F"/>
    <w:rsid w:val="00BE6861"/>
    <w:rsid w:val="00CE60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7DF11-BB73-4A6B-AF0A-EAE9D3B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Vorlage_leer.dotx</Template>
  <TotalTime>0</TotalTime>
  <Pages>20</Pages>
  <Words>4157</Words>
  <Characters>31529</Characters>
  <Application>Microsoft Office Word</Application>
  <DocSecurity>4</DocSecurity>
  <Lines>262</Lines>
  <Paragraphs>71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35615</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2015-01-21T10:21:00Z</dcterms:created>
  <dcterms:modified xsi:type="dcterms:W3CDTF">2015-01-21T10:21:00Z</dcterms:modified>
</cp:coreProperties>
</file>